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0B289" w14:textId="1D4F7481" w:rsidR="004F2E15" w:rsidRPr="00630FFD" w:rsidRDefault="00630FFD" w:rsidP="00630FFD">
      <w:pPr>
        <w:jc w:val="center"/>
        <w:rPr>
          <w:b/>
          <w:bCs/>
          <w:color w:val="FFFFFF" w:themeColor="background1"/>
        </w:rPr>
      </w:pPr>
      <w:r>
        <w:rPr>
          <w:noProof/>
        </w:rPr>
        <mc:AlternateContent>
          <mc:Choice Requires="wps">
            <w:drawing>
              <wp:anchor distT="0" distB="0" distL="114300" distR="114300" simplePos="0" relativeHeight="251661312" behindDoc="0" locked="0" layoutInCell="1" allowOverlap="1" wp14:anchorId="414DE84D" wp14:editId="0DF2B7BF">
                <wp:simplePos x="0" y="0"/>
                <wp:positionH relativeFrom="margin">
                  <wp:align>right</wp:align>
                </wp:positionH>
                <wp:positionV relativeFrom="paragraph">
                  <wp:posOffset>514350</wp:posOffset>
                </wp:positionV>
                <wp:extent cx="5783580" cy="1584960"/>
                <wp:effectExtent l="0" t="0" r="26670" b="15240"/>
                <wp:wrapNone/>
                <wp:docPr id="30808726" name="Rectangle 7"/>
                <wp:cNvGraphicFramePr/>
                <a:graphic xmlns:a="http://schemas.openxmlformats.org/drawingml/2006/main">
                  <a:graphicData uri="http://schemas.microsoft.com/office/word/2010/wordprocessingShape">
                    <wps:wsp>
                      <wps:cNvSpPr/>
                      <wps:spPr>
                        <a:xfrm>
                          <a:off x="0" y="0"/>
                          <a:ext cx="5783580" cy="1584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7BA15" id="Rectangle 7" o:spid="_x0000_s1026" style="position:absolute;margin-left:404.2pt;margin-top:40.5pt;width:455.4pt;height:124.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" filled="f" strokecolor="#030e13 [484]" strokeweight="1pt">
                <w10:wrap anchorx="margin"/>
              </v:rect>
            </w:pict>
          </mc:Fallback>
        </mc:AlternateContent>
      </w:r>
      <w:r w:rsidR="004F2E15" w:rsidRPr="004F2E15">
        <w:rPr>
          <w:b/>
          <w:bCs/>
          <w:noProof/>
          <w:color w:val="FFFFFF" w:themeColor="background1"/>
        </w:rPr>
        <mc:AlternateContent>
          <mc:Choice Requires="wps">
            <w:drawing>
              <wp:anchor distT="0" distB="0" distL="114300" distR="114300" simplePos="0" relativeHeight="251659264" behindDoc="1" locked="0" layoutInCell="1" allowOverlap="1" wp14:anchorId="2024832D" wp14:editId="73C46392">
                <wp:simplePos x="0" y="0"/>
                <wp:positionH relativeFrom="margin">
                  <wp:posOffset>-793115</wp:posOffset>
                </wp:positionH>
                <wp:positionV relativeFrom="paragraph">
                  <wp:posOffset>2540</wp:posOffset>
                </wp:positionV>
                <wp:extent cx="7329351" cy="382270"/>
                <wp:effectExtent l="0" t="0" r="24130" b="17780"/>
                <wp:wrapNone/>
                <wp:docPr id="1537347656" name="Rectangle 5"/>
                <wp:cNvGraphicFramePr/>
                <a:graphic xmlns:a="http://schemas.openxmlformats.org/drawingml/2006/main">
                  <a:graphicData uri="http://schemas.microsoft.com/office/word/2010/wordprocessingShape">
                    <wps:wsp>
                      <wps:cNvSpPr/>
                      <wps:spPr>
                        <a:xfrm>
                          <a:off x="0" y="0"/>
                          <a:ext cx="7329351" cy="38227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0E5FB" id="Rectangle 5" o:spid="_x0000_s1026" style="position:absolute;margin-left:-62.45pt;margin-top:.2pt;width:577.1pt;height:30.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" fillcolor="#156082 [3204]" strokecolor="#030e13 [484]" strokeweight="1pt">
                <w10:wrap anchorx="margin"/>
              </v:rect>
            </w:pict>
          </mc:Fallback>
        </mc:AlternateContent>
      </w:r>
      <w:r w:rsidR="004F2E15" w:rsidRPr="004F2E15">
        <w:rPr>
          <w:b/>
          <w:bCs/>
          <w:color w:val="FFFFFF" w:themeColor="background1"/>
        </w:rPr>
        <w:t>Formulaire de candidature : bourse d’encouragement à la mobilité internationale des étudiants et étudiantes en situation de handicap</w:t>
      </w:r>
    </w:p>
    <w:p w14:paraId="38C9DA45" w14:textId="6360DA16" w:rsidR="004F2E15" w:rsidRDefault="004F2E15">
      <w:r>
        <w:t xml:space="preserve">Le dossier est à retourner complet avant le </w:t>
      </w:r>
      <w:r w:rsidR="00DF67E5">
        <w:t>0</w:t>
      </w:r>
      <w:r w:rsidR="00630FFD">
        <w:t>8</w:t>
      </w:r>
      <w:r w:rsidR="00DF67E5">
        <w:t xml:space="preserve"> mai</w:t>
      </w:r>
      <w:r>
        <w:t xml:space="preserve"> 202</w:t>
      </w:r>
      <w:r w:rsidR="00630FFD">
        <w:t>6</w:t>
      </w:r>
      <w:r>
        <w:t xml:space="preserve">, le comité d’attribution statuera au plus tard le </w:t>
      </w:r>
      <w:r w:rsidR="00F769C1">
        <w:t>31</w:t>
      </w:r>
      <w:r>
        <w:t xml:space="preserve"> mai 202</w:t>
      </w:r>
      <w:r w:rsidR="00877AF6">
        <w:t>6.</w:t>
      </w:r>
      <w:r>
        <w:t xml:space="preserve"> </w:t>
      </w:r>
    </w:p>
    <w:p w14:paraId="0808229E" w14:textId="77777777" w:rsidR="00A52464" w:rsidRDefault="004F2E15">
      <w:pPr>
        <w:rPr>
          <w:b/>
          <w:bCs/>
        </w:rPr>
      </w:pPr>
      <w:r w:rsidRPr="004F2E15">
        <w:rPr>
          <w:b/>
          <w:bCs/>
        </w:rPr>
        <w:t xml:space="preserve">Dossier à envoyer par le référent handicap de l’établissement à </w:t>
      </w:r>
      <w:r w:rsidR="008818DF">
        <w:rPr>
          <w:b/>
          <w:bCs/>
        </w:rPr>
        <w:t>Sophie Odone, Référente Diversité &amp; Inclusion de la Conférence des grandes écoles</w:t>
      </w:r>
      <w:r w:rsidR="00A52464">
        <w:rPr>
          <w:b/>
          <w:bCs/>
        </w:rPr>
        <w:t xml:space="preserve">. </w:t>
      </w:r>
    </w:p>
    <w:p w14:paraId="28750EDB" w14:textId="387FFD0E" w:rsidR="004F2E15" w:rsidRPr="004F2E15" w:rsidRDefault="00A52464">
      <w:pPr>
        <w:rPr>
          <w:b/>
          <w:bCs/>
        </w:rPr>
      </w:pPr>
      <w:r>
        <w:rPr>
          <w:b/>
          <w:bCs/>
        </w:rPr>
        <w:t xml:space="preserve">Mail : </w:t>
      </w:r>
      <w:hyperlink r:id="rId8" w:history="1">
        <w:r w:rsidRPr="00152848">
          <w:rPr>
            <w:rStyle w:val="Lienhypertexte"/>
            <w:b/>
            <w:bCs/>
          </w:rPr>
          <w:t>sophie.odone@cge.asso.fr</w:t>
        </w:r>
      </w:hyperlink>
      <w:r w:rsidR="004F2E15" w:rsidRPr="004F2E15">
        <w:rPr>
          <w:b/>
          <w:bCs/>
        </w:rPr>
        <w:t xml:space="preserve"> </w:t>
      </w:r>
    </w:p>
    <w:p w14:paraId="4DCEB17A" w14:textId="2840BB56" w:rsidR="008818DF" w:rsidRDefault="00A52464">
      <w:pPr>
        <w:rPr>
          <w:b/>
          <w:bCs/>
        </w:rPr>
      </w:pPr>
      <w:r w:rsidRPr="00A52464">
        <w:rPr>
          <w:b/>
          <w:bCs/>
        </w:rPr>
        <w:t>Tel : 06 17 37 38 96</w:t>
      </w:r>
    </w:p>
    <w:p w14:paraId="6B402DD6" w14:textId="4FF848C2" w:rsidR="001366A0" w:rsidRDefault="001366A0">
      <w:pPr>
        <w:rPr>
          <w:b/>
          <w:bCs/>
          <w:u w:val="single"/>
        </w:rPr>
      </w:pPr>
      <w:r>
        <w:rPr>
          <w:b/>
          <w:bCs/>
          <w:u w:val="single"/>
        </w:rPr>
        <w:t xml:space="preserve">1/ Contexte </w:t>
      </w:r>
    </w:p>
    <w:p w14:paraId="471E9849" w14:textId="6D19A3E3" w:rsidR="003818C8" w:rsidRDefault="001366A0">
      <w:r>
        <w:t>Les bourses de mobilité sont financées par la mission handicap d</w:t>
      </w:r>
      <w:r w:rsidR="00A507C1">
        <w:t>es entreprises partenaires</w:t>
      </w:r>
      <w:r w:rsidR="003E7C64">
        <w:t xml:space="preserve"> et transmises par la CGE dans la limite des fonds disponible. </w:t>
      </w:r>
      <w:r w:rsidR="00905D3A">
        <w:t xml:space="preserve">Le comité d’attribution </w:t>
      </w:r>
      <w:r w:rsidR="0075621E">
        <w:t>composé des parties prenantes du dispositif est souverain.</w:t>
      </w:r>
      <w:r w:rsidR="00E8197F">
        <w:t xml:space="preserve"> Il ne se réunit qu’une seule et unique fois pour examiner les dossiers. </w:t>
      </w:r>
      <w:r w:rsidR="00E8197F" w:rsidRPr="00AD4A76">
        <w:rPr>
          <w:b/>
          <w:bCs/>
        </w:rPr>
        <w:t xml:space="preserve">Aucun réexamen ne sera effectué après la notification </w:t>
      </w:r>
      <w:r w:rsidR="00EF2BAF" w:rsidRPr="00AD4A76">
        <w:rPr>
          <w:b/>
          <w:bCs/>
        </w:rPr>
        <w:t xml:space="preserve">d’attribution ou de </w:t>
      </w:r>
      <w:r w:rsidR="00AD4A76" w:rsidRPr="00AD4A76">
        <w:rPr>
          <w:b/>
          <w:bCs/>
        </w:rPr>
        <w:t>non-attribution</w:t>
      </w:r>
      <w:r w:rsidR="00EF2BAF" w:rsidRPr="00AD4A76">
        <w:rPr>
          <w:b/>
          <w:bCs/>
        </w:rPr>
        <w:t xml:space="preserve"> du comité</w:t>
      </w:r>
      <w:r w:rsidR="00EF2BAF">
        <w:t xml:space="preserve">. </w:t>
      </w:r>
      <w:r w:rsidR="009453DB">
        <w:t xml:space="preserve">Cette bourse est cumulable </w:t>
      </w:r>
      <w:r w:rsidR="003654D1">
        <w:t xml:space="preserve">avec d’autres bourses et </w:t>
      </w:r>
      <w:r w:rsidR="00AD2C4F">
        <w:t>vient en complément d’autres bourses</w:t>
      </w:r>
      <w:r w:rsidR="00813974">
        <w:t xml:space="preserve"> mobilisées. </w:t>
      </w:r>
    </w:p>
    <w:p w14:paraId="3592ED23" w14:textId="38F5C09B" w:rsidR="00EF2BAF" w:rsidRDefault="003818C8">
      <w:r>
        <w:t xml:space="preserve">Il est à </w:t>
      </w:r>
      <w:r w:rsidR="00EB083D">
        <w:t>noter</w:t>
      </w:r>
      <w:r>
        <w:t xml:space="preserve"> que la bourse est attribuée pour une </w:t>
      </w:r>
      <w:r w:rsidR="00AE65AB">
        <w:t xml:space="preserve">destination, une durée et un usage précis. Si l’un de ces éléments </w:t>
      </w:r>
      <w:r w:rsidR="00226105">
        <w:t>devait être modifi</w:t>
      </w:r>
      <w:r w:rsidR="00EB083D">
        <w:t xml:space="preserve">é </w:t>
      </w:r>
      <w:r w:rsidR="00226105">
        <w:t>après la notification transmise à l’étudiant</w:t>
      </w:r>
      <w:r w:rsidR="00D137B8">
        <w:t xml:space="preserve">, il appartient au bénéficiaire et à son école </w:t>
      </w:r>
      <w:r w:rsidR="00137E54">
        <w:t xml:space="preserve">de prévenir sans délai </w:t>
      </w:r>
      <w:r w:rsidR="000F4FAF">
        <w:t xml:space="preserve">le ou la référente Diversité &amp; Inclusion de la Conférence des grandes écoles. </w:t>
      </w:r>
      <w:r w:rsidR="004740D8">
        <w:t xml:space="preserve">Cette modification pourra faire l’objet d’une réévaluation si nécessaire, allant jusqu’à une </w:t>
      </w:r>
      <w:r w:rsidR="00731151">
        <w:t>annulation du</w:t>
      </w:r>
      <w:r w:rsidR="00D954C4">
        <w:t xml:space="preserve"> montant initial. </w:t>
      </w:r>
    </w:p>
    <w:p w14:paraId="0C9A7446" w14:textId="4B2D68AB" w:rsidR="00EF2BAF" w:rsidRDefault="00EF2BAF">
      <w:r>
        <w:t>Critères d’éligibilité </w:t>
      </w:r>
      <w:r w:rsidR="008D5DC2">
        <w:t xml:space="preserve">du dossier </w:t>
      </w:r>
      <w:r>
        <w:t xml:space="preserve">: </w:t>
      </w:r>
    </w:p>
    <w:p w14:paraId="712A948A" w14:textId="1E0A3290" w:rsidR="005E60E7" w:rsidRPr="00AD4A76" w:rsidRDefault="008D5DC2" w:rsidP="00FA1194">
      <w:pPr>
        <w:pStyle w:val="Paragraphedeliste"/>
        <w:numPr>
          <w:ilvl w:val="0"/>
          <w:numId w:val="2"/>
        </w:numPr>
        <w:rPr>
          <w:b/>
          <w:bCs/>
        </w:rPr>
      </w:pPr>
      <w:r w:rsidRPr="00AD4A76">
        <w:rPr>
          <w:b/>
          <w:bCs/>
        </w:rPr>
        <w:t>L’étudiant doit être</w:t>
      </w:r>
      <w:r w:rsidR="00BE5C75" w:rsidRPr="00AD4A76">
        <w:rPr>
          <w:b/>
          <w:bCs/>
        </w:rPr>
        <w:t xml:space="preserve"> inscrit dans un établissement membre de la Conférence des grandes écoles </w:t>
      </w:r>
      <w:r w:rsidR="00FA1194" w:rsidRPr="00AD4A76">
        <w:rPr>
          <w:b/>
          <w:bCs/>
        </w:rPr>
        <w:t xml:space="preserve">et </w:t>
      </w:r>
      <w:r w:rsidR="005E60E7" w:rsidRPr="00AD4A76">
        <w:rPr>
          <w:b/>
          <w:bCs/>
        </w:rPr>
        <w:t xml:space="preserve">justifier d’une situation de handicap </w:t>
      </w:r>
    </w:p>
    <w:p w14:paraId="64CF1045" w14:textId="4FEF1E70" w:rsidR="00FB3C8F" w:rsidRDefault="00FB3C8F" w:rsidP="00EF2BAF">
      <w:pPr>
        <w:pStyle w:val="Paragraphedeliste"/>
        <w:numPr>
          <w:ilvl w:val="0"/>
          <w:numId w:val="2"/>
        </w:numPr>
        <w:rPr>
          <w:b/>
          <w:bCs/>
        </w:rPr>
      </w:pPr>
      <w:r>
        <w:rPr>
          <w:b/>
          <w:bCs/>
        </w:rPr>
        <w:t>L’étudiant peut être alternant ou non</w:t>
      </w:r>
    </w:p>
    <w:p w14:paraId="1908EE26" w14:textId="26AD6381" w:rsidR="008D5DC2" w:rsidRPr="00AD4A76" w:rsidRDefault="00FA1194" w:rsidP="00EF2BAF">
      <w:pPr>
        <w:pStyle w:val="Paragraphedeliste"/>
        <w:numPr>
          <w:ilvl w:val="0"/>
          <w:numId w:val="2"/>
        </w:numPr>
        <w:rPr>
          <w:b/>
          <w:bCs/>
        </w:rPr>
      </w:pPr>
      <w:r w:rsidRPr="00AD4A76">
        <w:rPr>
          <w:b/>
          <w:bCs/>
        </w:rPr>
        <w:t>L’étudiant doit p</w:t>
      </w:r>
      <w:r w:rsidR="00304EB6" w:rsidRPr="00AD4A76">
        <w:rPr>
          <w:b/>
          <w:bCs/>
        </w:rPr>
        <w:t xml:space="preserve">rojeter de faire une mobilité (les dossiers mentionnant des mobilités en cours ou passées ne seront pas examinés) </w:t>
      </w:r>
    </w:p>
    <w:p w14:paraId="0A30D1E4" w14:textId="77777777" w:rsidR="00437D7E" w:rsidRPr="00AD4A76" w:rsidRDefault="00FF6E5E" w:rsidP="00A50BED">
      <w:pPr>
        <w:pStyle w:val="Paragraphedeliste"/>
        <w:numPr>
          <w:ilvl w:val="0"/>
          <w:numId w:val="2"/>
        </w:numPr>
        <w:rPr>
          <w:b/>
          <w:bCs/>
        </w:rPr>
      </w:pPr>
      <w:r w:rsidRPr="00AD4A76">
        <w:rPr>
          <w:b/>
          <w:bCs/>
        </w:rPr>
        <w:t xml:space="preserve"> </w:t>
      </w:r>
      <w:r w:rsidR="00FA1194" w:rsidRPr="00AD4A76">
        <w:rPr>
          <w:b/>
          <w:bCs/>
        </w:rPr>
        <w:t xml:space="preserve">Le dossier doit être monté et transmis par le </w:t>
      </w:r>
      <w:r w:rsidR="00234A7B" w:rsidRPr="00AD4A76">
        <w:rPr>
          <w:b/>
          <w:bCs/>
        </w:rPr>
        <w:t>référent ou la référente handicap de l’établissement</w:t>
      </w:r>
      <w:r w:rsidR="004222EF" w:rsidRPr="00AD4A76">
        <w:rPr>
          <w:b/>
          <w:bCs/>
        </w:rPr>
        <w:t xml:space="preserve"> ou tout personnel en charge du handicap ou de la vie étudiante. </w:t>
      </w:r>
    </w:p>
    <w:p w14:paraId="455590CC" w14:textId="1EE65AD5" w:rsidR="00A20817" w:rsidRDefault="00437D7E" w:rsidP="00437D7E">
      <w:r w:rsidRPr="00437D7E">
        <w:t>A</w:t>
      </w:r>
      <w:r>
        <w:t xml:space="preserve">près la réunion du Comité, l’étudiant et son </w:t>
      </w:r>
      <w:r w:rsidR="000922A3">
        <w:t xml:space="preserve">référent handicap reçoivent une notification obtention ou de </w:t>
      </w:r>
      <w:r w:rsidR="00894259">
        <w:t>non-obtention</w:t>
      </w:r>
      <w:r w:rsidR="000922A3">
        <w:t xml:space="preserve"> de la bourse, indiquant le montant octroyé. </w:t>
      </w:r>
      <w:r w:rsidR="00A20817">
        <w:t xml:space="preserve">Ce montant sera versé en deux fois directement sur le compte bancaire de l’étudiant : </w:t>
      </w:r>
    </w:p>
    <w:p w14:paraId="13329961" w14:textId="3985ADDC" w:rsidR="00B5034E" w:rsidRDefault="0092304F" w:rsidP="00A20817">
      <w:pPr>
        <w:pStyle w:val="Paragraphedeliste"/>
        <w:numPr>
          <w:ilvl w:val="0"/>
          <w:numId w:val="2"/>
        </w:numPr>
      </w:pPr>
      <w:r w:rsidRPr="002060F4">
        <w:rPr>
          <w:b/>
          <w:bCs/>
        </w:rPr>
        <w:lastRenderedPageBreak/>
        <w:t>Le pr</w:t>
      </w:r>
      <w:r w:rsidR="00A20817" w:rsidRPr="002060F4">
        <w:rPr>
          <w:b/>
          <w:bCs/>
        </w:rPr>
        <w:t xml:space="preserve">emier virement </w:t>
      </w:r>
      <w:r w:rsidRPr="002060F4">
        <w:rPr>
          <w:b/>
          <w:bCs/>
        </w:rPr>
        <w:t>s’élève à</w:t>
      </w:r>
      <w:r w:rsidR="00A20817" w:rsidRPr="002060F4">
        <w:rPr>
          <w:b/>
          <w:bCs/>
        </w:rPr>
        <w:t xml:space="preserve"> 80%</w:t>
      </w:r>
      <w:r w:rsidR="00A20817">
        <w:t xml:space="preserve"> de la somme total</w:t>
      </w:r>
      <w:r>
        <w:t>e dès réception par le r</w:t>
      </w:r>
      <w:r w:rsidR="00964950">
        <w:t xml:space="preserve">éférent ou la référente Diversité &amp; Inclusion de la CGE d’un </w:t>
      </w:r>
      <w:r w:rsidR="00964950" w:rsidRPr="009204EB">
        <w:rPr>
          <w:u w:val="single"/>
        </w:rPr>
        <w:t>justificatif de départ à l’étranger de l’étudiant</w:t>
      </w:r>
      <w:r w:rsidR="00964950">
        <w:t xml:space="preserve"> (</w:t>
      </w:r>
      <w:r w:rsidR="00B5034E">
        <w:t>ex : titre de transport nominatif)</w:t>
      </w:r>
      <w:r w:rsidR="00630FFD">
        <w:t>. Pour toucher ces 80%, l’étudiant peut en faire la demande jusqu’à 6 mois après son départ en mobilité.</w:t>
      </w:r>
    </w:p>
    <w:p w14:paraId="52E84100" w14:textId="0487739A" w:rsidR="00630FFD" w:rsidRDefault="00B5034E" w:rsidP="00630FFD">
      <w:pPr>
        <w:pStyle w:val="Paragraphedeliste"/>
        <w:numPr>
          <w:ilvl w:val="0"/>
          <w:numId w:val="2"/>
        </w:numPr>
      </w:pPr>
      <w:r w:rsidRPr="002060F4">
        <w:rPr>
          <w:b/>
          <w:bCs/>
        </w:rPr>
        <w:t>Le second versement s’élève à 20%</w:t>
      </w:r>
      <w:r>
        <w:t xml:space="preserve"> de la somme totale dès la réception par le référent ou la référente Diversité &amp; Inclusion de la CGE </w:t>
      </w:r>
      <w:r w:rsidRPr="009204EB">
        <w:rPr>
          <w:u w:val="single"/>
        </w:rPr>
        <w:t xml:space="preserve">d’un retour d’expérience </w:t>
      </w:r>
      <w:r w:rsidR="004C3301" w:rsidRPr="009204EB">
        <w:rPr>
          <w:u w:val="single"/>
        </w:rPr>
        <w:t xml:space="preserve">de la part de l’étudiant à l’issue de sa mobilité </w:t>
      </w:r>
      <w:r w:rsidR="004C3301">
        <w:t>(ex : une ou deux pages reprenant les grands moments de la mobilité ou les bénéfices</w:t>
      </w:r>
      <w:r w:rsidR="002060F4">
        <w:t>/difficultés globaux de la mobilité pour l’étudiant)</w:t>
      </w:r>
      <w:r w:rsidR="00630FFD">
        <w:t>. Pour toucher ces 20%, l’étudiant peut en faire la demande jusqu’à 6 mois après son retour de mobilité.</w:t>
      </w:r>
    </w:p>
    <w:p w14:paraId="71D12F2E" w14:textId="224445CC" w:rsidR="004F2E15" w:rsidRPr="00AA5311" w:rsidRDefault="001366A0" w:rsidP="00894259">
      <w:r w:rsidRPr="00AA5311">
        <w:rPr>
          <w:b/>
          <w:bCs/>
          <w:u w:val="single"/>
        </w:rPr>
        <w:t>2</w:t>
      </w:r>
      <w:r w:rsidR="004F2E15" w:rsidRPr="00AA5311">
        <w:rPr>
          <w:b/>
          <w:bCs/>
          <w:u w:val="single"/>
        </w:rPr>
        <w:t xml:space="preserve">/ Les informations </w:t>
      </w:r>
    </w:p>
    <w:tbl>
      <w:tblPr>
        <w:tblStyle w:val="Grilledutableau"/>
        <w:tblW w:w="10774" w:type="dxa"/>
        <w:tblInd w:w="-856" w:type="dxa"/>
        <w:tblLook w:val="04A0" w:firstRow="1" w:lastRow="0" w:firstColumn="1" w:lastColumn="0" w:noHBand="0" w:noVBand="1"/>
      </w:tblPr>
      <w:tblGrid>
        <w:gridCol w:w="5387"/>
        <w:gridCol w:w="5387"/>
      </w:tblGrid>
      <w:tr w:rsidR="004F2E15" w14:paraId="0AAAA2B8" w14:textId="77777777" w:rsidTr="005F20A7">
        <w:tc>
          <w:tcPr>
            <w:tcW w:w="10774" w:type="dxa"/>
            <w:gridSpan w:val="2"/>
            <w:shd w:val="clear" w:color="auto" w:fill="CAEDFB" w:themeFill="accent4" w:themeFillTint="33"/>
          </w:tcPr>
          <w:p w14:paraId="37D1E77E" w14:textId="17A6D42A" w:rsidR="004F2E15" w:rsidRPr="005F20A7" w:rsidRDefault="004F2E15" w:rsidP="005F20A7">
            <w:pPr>
              <w:jc w:val="center"/>
              <w:rPr>
                <w:b/>
                <w:bCs/>
              </w:rPr>
            </w:pPr>
            <w:r w:rsidRPr="005F20A7">
              <w:rPr>
                <w:b/>
                <w:bCs/>
              </w:rPr>
              <w:t>Informations relatives au demandeur de la bourse</w:t>
            </w:r>
          </w:p>
        </w:tc>
      </w:tr>
      <w:tr w:rsidR="004F2E15" w14:paraId="6193DA1F" w14:textId="77777777" w:rsidTr="005F20A7">
        <w:tc>
          <w:tcPr>
            <w:tcW w:w="5387" w:type="dxa"/>
            <w:shd w:val="clear" w:color="auto" w:fill="CAEDFB" w:themeFill="accent4" w:themeFillTint="33"/>
          </w:tcPr>
          <w:p w14:paraId="4F312D6E" w14:textId="78ED4D86" w:rsidR="004F2E15" w:rsidRPr="005F20A7" w:rsidRDefault="004F2E15">
            <w:pPr>
              <w:rPr>
                <w:b/>
                <w:bCs/>
              </w:rPr>
            </w:pPr>
            <w:r w:rsidRPr="005F20A7">
              <w:rPr>
                <w:b/>
                <w:bCs/>
              </w:rPr>
              <w:t>Nom</w:t>
            </w:r>
          </w:p>
        </w:tc>
        <w:tc>
          <w:tcPr>
            <w:tcW w:w="5387" w:type="dxa"/>
          </w:tcPr>
          <w:p w14:paraId="2CA8C4D5" w14:textId="77777777" w:rsidR="004F2E15" w:rsidRDefault="004F2E15"/>
        </w:tc>
      </w:tr>
      <w:tr w:rsidR="004F2E15" w14:paraId="0936D58D" w14:textId="77777777" w:rsidTr="005F20A7">
        <w:tc>
          <w:tcPr>
            <w:tcW w:w="5387" w:type="dxa"/>
            <w:shd w:val="clear" w:color="auto" w:fill="CAEDFB" w:themeFill="accent4" w:themeFillTint="33"/>
          </w:tcPr>
          <w:p w14:paraId="0023C0B1" w14:textId="1A1306D9" w:rsidR="004F2E15" w:rsidRPr="005F20A7" w:rsidRDefault="004F2E15">
            <w:pPr>
              <w:rPr>
                <w:b/>
                <w:bCs/>
              </w:rPr>
            </w:pPr>
            <w:r w:rsidRPr="005F20A7">
              <w:rPr>
                <w:b/>
                <w:bCs/>
              </w:rPr>
              <w:t>Prénom</w:t>
            </w:r>
          </w:p>
        </w:tc>
        <w:tc>
          <w:tcPr>
            <w:tcW w:w="5387" w:type="dxa"/>
          </w:tcPr>
          <w:p w14:paraId="76A3E937" w14:textId="77777777" w:rsidR="004F2E15" w:rsidRDefault="004F2E15"/>
        </w:tc>
      </w:tr>
      <w:tr w:rsidR="004F2E15" w14:paraId="3A883CAB" w14:textId="77777777" w:rsidTr="005F20A7">
        <w:tc>
          <w:tcPr>
            <w:tcW w:w="5387" w:type="dxa"/>
            <w:shd w:val="clear" w:color="auto" w:fill="CAEDFB" w:themeFill="accent4" w:themeFillTint="33"/>
          </w:tcPr>
          <w:p w14:paraId="671B0B0B" w14:textId="6A809FDD" w:rsidR="004F2E15" w:rsidRPr="005F20A7" w:rsidRDefault="005F20A7">
            <w:pPr>
              <w:rPr>
                <w:b/>
                <w:bCs/>
              </w:rPr>
            </w:pPr>
            <w:r>
              <w:rPr>
                <w:b/>
                <w:bCs/>
              </w:rPr>
              <w:t xml:space="preserve">Coordonnées </w:t>
            </w:r>
          </w:p>
        </w:tc>
        <w:tc>
          <w:tcPr>
            <w:tcW w:w="5387" w:type="dxa"/>
          </w:tcPr>
          <w:p w14:paraId="138398C3" w14:textId="7B645881" w:rsidR="004F2E15" w:rsidRDefault="005F20A7">
            <w:r>
              <w:t xml:space="preserve">Tel :                                     mail : </w:t>
            </w:r>
          </w:p>
        </w:tc>
      </w:tr>
      <w:tr w:rsidR="004F2E15" w14:paraId="1A53C03F" w14:textId="77777777" w:rsidTr="005F20A7">
        <w:tc>
          <w:tcPr>
            <w:tcW w:w="5387" w:type="dxa"/>
            <w:shd w:val="clear" w:color="auto" w:fill="CAEDFB" w:themeFill="accent4" w:themeFillTint="33"/>
          </w:tcPr>
          <w:p w14:paraId="64E7F6D3" w14:textId="27B50606" w:rsidR="004F2E15" w:rsidRPr="005F20A7" w:rsidRDefault="004F2E15">
            <w:pPr>
              <w:rPr>
                <w:b/>
                <w:bCs/>
              </w:rPr>
            </w:pPr>
            <w:r w:rsidRPr="005F20A7">
              <w:rPr>
                <w:b/>
                <w:bCs/>
              </w:rPr>
              <w:t xml:space="preserve">Type de justificatif du handicap et date de validité </w:t>
            </w:r>
            <w:r w:rsidR="00FF194F">
              <w:rPr>
                <w:rStyle w:val="Appelnotedebasdep"/>
                <w:b/>
                <w:bCs/>
              </w:rPr>
              <w:footnoteReference w:id="1"/>
            </w:r>
          </w:p>
        </w:tc>
        <w:tc>
          <w:tcPr>
            <w:tcW w:w="5387" w:type="dxa"/>
          </w:tcPr>
          <w:p w14:paraId="31F4E075" w14:textId="377FF16E" w:rsidR="004F2E15" w:rsidRDefault="004F2E15"/>
        </w:tc>
      </w:tr>
      <w:tr w:rsidR="004F2E15" w14:paraId="3BD401A4" w14:textId="77777777" w:rsidTr="005F20A7">
        <w:tc>
          <w:tcPr>
            <w:tcW w:w="5387" w:type="dxa"/>
            <w:shd w:val="clear" w:color="auto" w:fill="CAEDFB" w:themeFill="accent4" w:themeFillTint="33"/>
          </w:tcPr>
          <w:p w14:paraId="1A02FF44" w14:textId="0170A6E5" w:rsidR="004F2E15" w:rsidRPr="005F20A7" w:rsidRDefault="004F2E15">
            <w:pPr>
              <w:rPr>
                <w:b/>
                <w:bCs/>
              </w:rPr>
            </w:pPr>
            <w:r w:rsidRPr="005F20A7">
              <w:rPr>
                <w:b/>
                <w:bCs/>
              </w:rPr>
              <w:t>Etablissement d’origine (membre de la CGE)</w:t>
            </w:r>
          </w:p>
        </w:tc>
        <w:tc>
          <w:tcPr>
            <w:tcW w:w="5387" w:type="dxa"/>
          </w:tcPr>
          <w:p w14:paraId="00078709" w14:textId="77777777" w:rsidR="004F2E15" w:rsidRDefault="004F2E15"/>
        </w:tc>
      </w:tr>
      <w:tr w:rsidR="004F2E15" w14:paraId="6FFE033A" w14:textId="77777777" w:rsidTr="005F20A7">
        <w:tc>
          <w:tcPr>
            <w:tcW w:w="5387" w:type="dxa"/>
            <w:shd w:val="clear" w:color="auto" w:fill="CAEDFB" w:themeFill="accent4" w:themeFillTint="33"/>
          </w:tcPr>
          <w:p w14:paraId="01D70D8F" w14:textId="64FCFACC" w:rsidR="004F2E15" w:rsidRPr="005F20A7" w:rsidRDefault="004F2E15">
            <w:pPr>
              <w:rPr>
                <w:b/>
                <w:bCs/>
              </w:rPr>
            </w:pPr>
            <w:r w:rsidRPr="005F20A7">
              <w:rPr>
                <w:b/>
                <w:bCs/>
              </w:rPr>
              <w:t>Année d’étude en 202</w:t>
            </w:r>
            <w:r w:rsidR="00630FFD">
              <w:rPr>
                <w:b/>
                <w:bCs/>
              </w:rPr>
              <w:t>5</w:t>
            </w:r>
            <w:r w:rsidRPr="005F20A7">
              <w:rPr>
                <w:b/>
                <w:bCs/>
              </w:rPr>
              <w:t>-202</w:t>
            </w:r>
            <w:r w:rsidR="00630FFD">
              <w:rPr>
                <w:b/>
                <w:bCs/>
              </w:rPr>
              <w:t>6</w:t>
            </w:r>
          </w:p>
        </w:tc>
        <w:tc>
          <w:tcPr>
            <w:tcW w:w="5387" w:type="dxa"/>
          </w:tcPr>
          <w:p w14:paraId="322FD4A8" w14:textId="77777777" w:rsidR="004F2E15" w:rsidRDefault="004F2E15"/>
        </w:tc>
      </w:tr>
      <w:tr w:rsidR="004F2E15" w14:paraId="29D02160" w14:textId="77777777" w:rsidTr="005F20A7">
        <w:tc>
          <w:tcPr>
            <w:tcW w:w="5387" w:type="dxa"/>
            <w:shd w:val="clear" w:color="auto" w:fill="CAEDFB" w:themeFill="accent4" w:themeFillTint="33"/>
          </w:tcPr>
          <w:p w14:paraId="567A91A7" w14:textId="0DF6FB19" w:rsidR="004F2E15" w:rsidRPr="005F20A7" w:rsidRDefault="004F2E15">
            <w:pPr>
              <w:rPr>
                <w:b/>
                <w:bCs/>
              </w:rPr>
            </w:pPr>
            <w:r w:rsidRPr="005F20A7">
              <w:rPr>
                <w:b/>
                <w:bCs/>
              </w:rPr>
              <w:t xml:space="preserve">Nom et prénom du référent handicap </w:t>
            </w:r>
            <w:r w:rsidR="0006745F">
              <w:rPr>
                <w:b/>
                <w:bCs/>
              </w:rPr>
              <w:t>de l’établissement</w:t>
            </w:r>
          </w:p>
        </w:tc>
        <w:tc>
          <w:tcPr>
            <w:tcW w:w="5387" w:type="dxa"/>
          </w:tcPr>
          <w:p w14:paraId="37329021" w14:textId="77777777" w:rsidR="004F2E15" w:rsidRDefault="004F2E15"/>
        </w:tc>
      </w:tr>
      <w:tr w:rsidR="004F2E15" w14:paraId="3F0BAE7E" w14:textId="77777777" w:rsidTr="005F20A7">
        <w:tc>
          <w:tcPr>
            <w:tcW w:w="5387" w:type="dxa"/>
            <w:shd w:val="clear" w:color="auto" w:fill="CAEDFB" w:themeFill="accent4" w:themeFillTint="33"/>
          </w:tcPr>
          <w:p w14:paraId="124393E0" w14:textId="4D621405" w:rsidR="004F2E15" w:rsidRPr="005F20A7" w:rsidRDefault="005F20A7">
            <w:pPr>
              <w:rPr>
                <w:b/>
                <w:bCs/>
              </w:rPr>
            </w:pPr>
            <w:r>
              <w:rPr>
                <w:b/>
                <w:bCs/>
              </w:rPr>
              <w:t>Coordonnées</w:t>
            </w:r>
            <w:r w:rsidR="004F2E15" w:rsidRPr="005F20A7">
              <w:rPr>
                <w:b/>
                <w:bCs/>
              </w:rPr>
              <w:t xml:space="preserve"> du référent handicap </w:t>
            </w:r>
          </w:p>
        </w:tc>
        <w:tc>
          <w:tcPr>
            <w:tcW w:w="5387" w:type="dxa"/>
          </w:tcPr>
          <w:p w14:paraId="458CA110" w14:textId="2704B67A" w:rsidR="004F2E15" w:rsidRDefault="005F20A7">
            <w:r>
              <w:t>Tel :                                     mail :</w:t>
            </w:r>
          </w:p>
        </w:tc>
      </w:tr>
      <w:tr w:rsidR="004F2E15" w14:paraId="755891A0" w14:textId="77777777" w:rsidTr="005F20A7">
        <w:tc>
          <w:tcPr>
            <w:tcW w:w="5387" w:type="dxa"/>
            <w:shd w:val="clear" w:color="auto" w:fill="CAEDFB" w:themeFill="accent4" w:themeFillTint="33"/>
          </w:tcPr>
          <w:p w14:paraId="05A8A8C1" w14:textId="6007EFEB" w:rsidR="004F2E15" w:rsidRPr="005F20A7" w:rsidRDefault="004F2E15">
            <w:pPr>
              <w:rPr>
                <w:b/>
                <w:bCs/>
              </w:rPr>
            </w:pPr>
            <w:r w:rsidRPr="005F20A7">
              <w:rPr>
                <w:b/>
                <w:bCs/>
              </w:rPr>
              <w:t>Autre bourse</w:t>
            </w:r>
          </w:p>
        </w:tc>
        <w:tc>
          <w:tcPr>
            <w:tcW w:w="5387" w:type="dxa"/>
          </w:tcPr>
          <w:p w14:paraId="2C5405BA" w14:textId="77777777" w:rsidR="004F2E15" w:rsidRDefault="004F2E15" w:rsidP="005F20A7">
            <w:pPr>
              <w:pStyle w:val="Paragraphedeliste"/>
              <w:numPr>
                <w:ilvl w:val="0"/>
                <w:numId w:val="1"/>
              </w:numPr>
            </w:pPr>
            <w:r>
              <w:t xml:space="preserve">Cochez cette case si vous avez déposé une demande ou obtenu une bourse ou un fonds de solidarité auprès d’un organisme pour votre mobilité </w:t>
            </w:r>
          </w:p>
          <w:p w14:paraId="6C954648" w14:textId="77777777" w:rsidR="005F20A7" w:rsidRDefault="005F20A7"/>
          <w:p w14:paraId="325EAE7C" w14:textId="4912AD75" w:rsidR="004F2E15" w:rsidRDefault="004F2E15">
            <w:r>
              <w:t>Précisez l’organisme :</w:t>
            </w:r>
          </w:p>
        </w:tc>
      </w:tr>
    </w:tbl>
    <w:p w14:paraId="01B7CE9D" w14:textId="77777777" w:rsidR="004F2E15" w:rsidRDefault="004F2E15"/>
    <w:tbl>
      <w:tblPr>
        <w:tblStyle w:val="Grilledutableau"/>
        <w:tblW w:w="10774" w:type="dxa"/>
        <w:tblInd w:w="-856" w:type="dxa"/>
        <w:tblLook w:val="04A0" w:firstRow="1" w:lastRow="0" w:firstColumn="1" w:lastColumn="0" w:noHBand="0" w:noVBand="1"/>
      </w:tblPr>
      <w:tblGrid>
        <w:gridCol w:w="5387"/>
        <w:gridCol w:w="5387"/>
      </w:tblGrid>
      <w:tr w:rsidR="004F2E15" w14:paraId="3EF302B8" w14:textId="77777777" w:rsidTr="005F20A7">
        <w:tc>
          <w:tcPr>
            <w:tcW w:w="10774" w:type="dxa"/>
            <w:gridSpan w:val="2"/>
            <w:shd w:val="clear" w:color="auto" w:fill="60CAF3" w:themeFill="accent4" w:themeFillTint="99"/>
          </w:tcPr>
          <w:p w14:paraId="15FDA6C1" w14:textId="37DED09C" w:rsidR="004F2E15" w:rsidRPr="005F20A7" w:rsidRDefault="005F20A7" w:rsidP="005F20A7">
            <w:pPr>
              <w:jc w:val="center"/>
              <w:rPr>
                <w:b/>
                <w:bCs/>
              </w:rPr>
            </w:pPr>
            <w:r w:rsidRPr="005F20A7">
              <w:rPr>
                <w:b/>
                <w:bCs/>
              </w:rPr>
              <w:t>Informations relatives à la m</w:t>
            </w:r>
            <w:r w:rsidR="004F2E15" w:rsidRPr="005F20A7">
              <w:rPr>
                <w:b/>
                <w:bCs/>
              </w:rPr>
              <w:t>obilité du demandeur</w:t>
            </w:r>
          </w:p>
        </w:tc>
      </w:tr>
      <w:tr w:rsidR="004F2E15" w14:paraId="640F30BA" w14:textId="77777777" w:rsidTr="005F20A7">
        <w:tc>
          <w:tcPr>
            <w:tcW w:w="5387" w:type="dxa"/>
            <w:shd w:val="clear" w:color="auto" w:fill="60CAF3" w:themeFill="accent4" w:themeFillTint="99"/>
          </w:tcPr>
          <w:p w14:paraId="0BBC2710" w14:textId="3F703119" w:rsidR="004F2E15" w:rsidRPr="005F20A7" w:rsidRDefault="004F2E15">
            <w:pPr>
              <w:rPr>
                <w:b/>
                <w:bCs/>
              </w:rPr>
            </w:pPr>
            <w:r w:rsidRPr="005F20A7">
              <w:rPr>
                <w:b/>
                <w:bCs/>
              </w:rPr>
              <w:t>Affectation confirmée à date</w:t>
            </w:r>
          </w:p>
        </w:tc>
        <w:tc>
          <w:tcPr>
            <w:tcW w:w="5387" w:type="dxa"/>
          </w:tcPr>
          <w:p w14:paraId="4C333899" w14:textId="3B8E7DA8" w:rsidR="004F2E15" w:rsidRDefault="005F20A7" w:rsidP="005F20A7">
            <w:pPr>
              <w:jc w:val="right"/>
            </w:pPr>
            <w:r>
              <w:t>Oui :                                       Non : indiquez les vœux d’expatriation</w:t>
            </w:r>
          </w:p>
        </w:tc>
      </w:tr>
      <w:tr w:rsidR="004F2E15" w14:paraId="0AE5978D" w14:textId="77777777" w:rsidTr="005F20A7">
        <w:tc>
          <w:tcPr>
            <w:tcW w:w="5387" w:type="dxa"/>
            <w:shd w:val="clear" w:color="auto" w:fill="60CAF3" w:themeFill="accent4" w:themeFillTint="99"/>
          </w:tcPr>
          <w:p w14:paraId="35CD4608" w14:textId="596B33B9" w:rsidR="004F2E15" w:rsidRPr="005F20A7" w:rsidRDefault="004F2E15">
            <w:pPr>
              <w:rPr>
                <w:b/>
                <w:bCs/>
              </w:rPr>
            </w:pPr>
            <w:r w:rsidRPr="005F20A7">
              <w:rPr>
                <w:b/>
                <w:bCs/>
              </w:rPr>
              <w:t xml:space="preserve">Pays d’accueil </w:t>
            </w:r>
          </w:p>
        </w:tc>
        <w:tc>
          <w:tcPr>
            <w:tcW w:w="5387" w:type="dxa"/>
          </w:tcPr>
          <w:p w14:paraId="1F04816B" w14:textId="77777777" w:rsidR="004F2E15" w:rsidRDefault="004F2E15"/>
        </w:tc>
      </w:tr>
      <w:tr w:rsidR="004F2E15" w14:paraId="2DAA3D79" w14:textId="77777777" w:rsidTr="005F20A7">
        <w:tc>
          <w:tcPr>
            <w:tcW w:w="5387" w:type="dxa"/>
            <w:shd w:val="clear" w:color="auto" w:fill="60CAF3" w:themeFill="accent4" w:themeFillTint="99"/>
          </w:tcPr>
          <w:p w14:paraId="24F3C01C" w14:textId="039861AE" w:rsidR="004F2E15" w:rsidRPr="005F20A7" w:rsidRDefault="004F2E15">
            <w:pPr>
              <w:rPr>
                <w:b/>
                <w:bCs/>
              </w:rPr>
            </w:pPr>
            <w:r w:rsidRPr="005F20A7">
              <w:rPr>
                <w:b/>
                <w:bCs/>
              </w:rPr>
              <w:t xml:space="preserve">Ville d’accueil </w:t>
            </w:r>
          </w:p>
        </w:tc>
        <w:tc>
          <w:tcPr>
            <w:tcW w:w="5387" w:type="dxa"/>
          </w:tcPr>
          <w:p w14:paraId="361DBB61" w14:textId="77777777" w:rsidR="004F2E15" w:rsidRDefault="004F2E15"/>
        </w:tc>
      </w:tr>
      <w:tr w:rsidR="004F2E15" w14:paraId="56224E61" w14:textId="77777777" w:rsidTr="005F20A7">
        <w:tc>
          <w:tcPr>
            <w:tcW w:w="5387" w:type="dxa"/>
            <w:shd w:val="clear" w:color="auto" w:fill="60CAF3" w:themeFill="accent4" w:themeFillTint="99"/>
          </w:tcPr>
          <w:p w14:paraId="77051E80" w14:textId="2ABCAA6B" w:rsidR="004F2E15" w:rsidRPr="005F20A7" w:rsidRDefault="004F2E15">
            <w:pPr>
              <w:rPr>
                <w:b/>
                <w:bCs/>
              </w:rPr>
            </w:pPr>
            <w:r w:rsidRPr="005F20A7">
              <w:rPr>
                <w:b/>
                <w:bCs/>
              </w:rPr>
              <w:t>Dates de la mobilité</w:t>
            </w:r>
          </w:p>
        </w:tc>
        <w:tc>
          <w:tcPr>
            <w:tcW w:w="5387" w:type="dxa"/>
          </w:tcPr>
          <w:p w14:paraId="1A7002A6" w14:textId="77777777" w:rsidR="004F2E15" w:rsidRDefault="004F2E15"/>
        </w:tc>
      </w:tr>
      <w:tr w:rsidR="004F2E15" w14:paraId="67D78234" w14:textId="77777777" w:rsidTr="005F20A7">
        <w:tc>
          <w:tcPr>
            <w:tcW w:w="5387" w:type="dxa"/>
            <w:shd w:val="clear" w:color="auto" w:fill="60CAF3" w:themeFill="accent4" w:themeFillTint="99"/>
          </w:tcPr>
          <w:p w14:paraId="7D25C24A" w14:textId="3E315B42" w:rsidR="004F2E15" w:rsidRPr="005F20A7" w:rsidRDefault="004F2E15">
            <w:pPr>
              <w:rPr>
                <w:b/>
                <w:bCs/>
              </w:rPr>
            </w:pPr>
            <w:r w:rsidRPr="005F20A7">
              <w:rPr>
                <w:b/>
                <w:bCs/>
              </w:rPr>
              <w:t xml:space="preserve">Etablissement d’accueil </w:t>
            </w:r>
          </w:p>
        </w:tc>
        <w:tc>
          <w:tcPr>
            <w:tcW w:w="5387" w:type="dxa"/>
          </w:tcPr>
          <w:p w14:paraId="2C9B9608" w14:textId="77777777" w:rsidR="004F2E15" w:rsidRDefault="004F2E15"/>
        </w:tc>
      </w:tr>
      <w:tr w:rsidR="004F2E15" w14:paraId="49D0237B" w14:textId="77777777" w:rsidTr="005F20A7">
        <w:tc>
          <w:tcPr>
            <w:tcW w:w="5387" w:type="dxa"/>
            <w:shd w:val="clear" w:color="auto" w:fill="60CAF3" w:themeFill="accent4" w:themeFillTint="99"/>
          </w:tcPr>
          <w:p w14:paraId="0AFE838E" w14:textId="18877FB4" w:rsidR="004F2E15" w:rsidRPr="005F20A7" w:rsidRDefault="004F2E15">
            <w:pPr>
              <w:rPr>
                <w:b/>
                <w:bCs/>
              </w:rPr>
            </w:pPr>
            <w:r w:rsidRPr="005F20A7">
              <w:rPr>
                <w:b/>
                <w:bCs/>
              </w:rPr>
              <w:t xml:space="preserve">Motif de la mobilité (stage, semestre académique …) </w:t>
            </w:r>
          </w:p>
        </w:tc>
        <w:tc>
          <w:tcPr>
            <w:tcW w:w="5387" w:type="dxa"/>
          </w:tcPr>
          <w:p w14:paraId="6109A371" w14:textId="77777777" w:rsidR="004F2E15" w:rsidRDefault="004F2E15"/>
        </w:tc>
      </w:tr>
    </w:tbl>
    <w:p w14:paraId="76322A9D" w14:textId="77777777" w:rsidR="006077DC" w:rsidRDefault="006077DC">
      <w:pPr>
        <w:rPr>
          <w:b/>
          <w:bCs/>
          <w:u w:val="single"/>
        </w:rPr>
      </w:pPr>
    </w:p>
    <w:p w14:paraId="152DF476" w14:textId="46EAD173" w:rsidR="00C808D9" w:rsidRDefault="00C808D9">
      <w:pPr>
        <w:rPr>
          <w:b/>
          <w:bCs/>
          <w:u w:val="single"/>
        </w:rPr>
      </w:pPr>
      <w:r w:rsidRPr="00C808D9">
        <w:rPr>
          <w:b/>
          <w:bCs/>
          <w:u w:val="single"/>
        </w:rPr>
        <w:lastRenderedPageBreak/>
        <w:t>3/ Les dépenses</w:t>
      </w:r>
    </w:p>
    <w:p w14:paraId="4C47FC6A" w14:textId="7FD10A5D" w:rsidR="00C97043" w:rsidRDefault="00015E2E">
      <w:r>
        <w:t>L</w:t>
      </w:r>
      <w:r w:rsidR="005410BC">
        <w:t xml:space="preserve">a bourse de mobilité a pour objectif de financer, </w:t>
      </w:r>
      <w:r w:rsidR="005410BC" w:rsidRPr="006077DC">
        <w:rPr>
          <w:u w:val="single"/>
        </w:rPr>
        <w:t>dans la limite des fonds disponibles</w:t>
      </w:r>
      <w:r w:rsidR="005410BC">
        <w:t xml:space="preserve">, </w:t>
      </w:r>
      <w:r w:rsidR="009C039D">
        <w:t xml:space="preserve">les </w:t>
      </w:r>
      <w:r w:rsidR="009C039D" w:rsidRPr="00EB083D">
        <w:rPr>
          <w:b/>
          <w:bCs/>
        </w:rPr>
        <w:t>surcouts</w:t>
      </w:r>
      <w:r w:rsidR="009C039D">
        <w:t xml:space="preserve"> liés au handicap dans le cadre de la mobilité internationale de l’étudiant. </w:t>
      </w:r>
      <w:r w:rsidR="00C97043" w:rsidRPr="00E86F48">
        <w:rPr>
          <w:b/>
          <w:bCs/>
        </w:rPr>
        <w:t xml:space="preserve">Le montant minimal octroyé sera de </w:t>
      </w:r>
      <w:r w:rsidR="00E86F48" w:rsidRPr="00E86F48">
        <w:rPr>
          <w:b/>
          <w:bCs/>
        </w:rPr>
        <w:t>150 euros et le montant maximal sera de 5 000 euros.</w:t>
      </w:r>
      <w:r w:rsidR="00E86F48">
        <w:t xml:space="preserve"> </w:t>
      </w:r>
    </w:p>
    <w:p w14:paraId="1FA906E8" w14:textId="06D957DD" w:rsidR="00336854" w:rsidRPr="00336854" w:rsidRDefault="00336854" w:rsidP="00336854">
      <w:r w:rsidRPr="00336854">
        <w:t>Certains surcoûts peuvent être pris en charge afin de garantir des conditions de vie et d’apprentissage optimales. Voici une liste non exhaustive des dépenses pouvant faire l’objet d’une prise en charge :</w:t>
      </w:r>
    </w:p>
    <w:p w14:paraId="327AAAC7" w14:textId="55EF356D" w:rsidR="00336854" w:rsidRPr="00336854" w:rsidRDefault="00336854" w:rsidP="00336854">
      <w:pPr>
        <w:pStyle w:val="Paragraphedeliste"/>
        <w:numPr>
          <w:ilvl w:val="0"/>
          <w:numId w:val="8"/>
        </w:numPr>
      </w:pPr>
      <w:r w:rsidRPr="00336854">
        <w:rPr>
          <w:b/>
          <w:bCs/>
        </w:rPr>
        <w:t>Frais médicaux et paramédicaux</w:t>
      </w:r>
      <w:r w:rsidRPr="00336854">
        <w:br/>
        <w:t>Les frais médicaux et paramédicaux peuvent être pris en charge si un soin ou un traitement spécifique lié au handicap est nécessaire.</w:t>
      </w:r>
    </w:p>
    <w:p w14:paraId="26F66C7C" w14:textId="77777777" w:rsidR="00336854" w:rsidRPr="00336854" w:rsidRDefault="00336854" w:rsidP="00336854">
      <w:pPr>
        <w:numPr>
          <w:ilvl w:val="0"/>
          <w:numId w:val="3"/>
        </w:numPr>
      </w:pPr>
      <w:r w:rsidRPr="00336854">
        <w:rPr>
          <w:b/>
          <w:bCs/>
        </w:rPr>
        <w:t>Justification</w:t>
      </w:r>
      <w:r w:rsidRPr="00336854">
        <w:t> : Un justificatif est requis pour prouver la nécessité du soin en rapport avec le handicap.</w:t>
      </w:r>
    </w:p>
    <w:p w14:paraId="56ACA2DE" w14:textId="77777777" w:rsidR="00336854" w:rsidRPr="00336854" w:rsidRDefault="00336854" w:rsidP="00336854">
      <w:pPr>
        <w:numPr>
          <w:ilvl w:val="0"/>
          <w:numId w:val="3"/>
        </w:numPr>
      </w:pPr>
      <w:r w:rsidRPr="00336854">
        <w:rPr>
          <w:b/>
          <w:bCs/>
        </w:rPr>
        <w:t>Conditions</w:t>
      </w:r>
      <w:r w:rsidRPr="00336854">
        <w:t> : Si le soin n’est pas disponible ou pris en charge par la CPAM en France, ou si le traitement ne peut pas être emporté ou obtenu à l’étranger pendant la période de mobilité, un aller-retour pourrait être financé pour revenir en France. Cette prise en charge est envisageable à partir d'un semestre de mobilité.</w:t>
      </w:r>
    </w:p>
    <w:p w14:paraId="37F105FA" w14:textId="77777777" w:rsidR="00336854" w:rsidRPr="00336854" w:rsidRDefault="00336854" w:rsidP="00336854">
      <w:r w:rsidRPr="00336854">
        <w:t> </w:t>
      </w:r>
    </w:p>
    <w:p w14:paraId="347F0DCE" w14:textId="08B33217" w:rsidR="00336854" w:rsidRPr="00336854" w:rsidRDefault="00336854" w:rsidP="00C176C3">
      <w:pPr>
        <w:pStyle w:val="Paragraphedeliste"/>
        <w:numPr>
          <w:ilvl w:val="0"/>
          <w:numId w:val="8"/>
        </w:numPr>
      </w:pPr>
      <w:r w:rsidRPr="00C176C3">
        <w:rPr>
          <w:b/>
          <w:bCs/>
        </w:rPr>
        <w:t>Déplacements et transports</w:t>
      </w:r>
      <w:r w:rsidRPr="00C176C3">
        <w:t xml:space="preserve"> (</w:t>
      </w:r>
      <w:r w:rsidRPr="00336854">
        <w:t>déplacement pour aller dans le pays d’accueil et/ou déplacements sur place) :</w:t>
      </w:r>
      <w:r w:rsidRPr="00336854">
        <w:br/>
        <w:t>Les déplacements peuvent être pris en charge si des besoins spécifiques liés au handicap existent. Par exemple, la prise en charge des surcoûts liés aux modes de transport adaptés (taxi, transport spécialisé, accompagnement…), les transports en commun en cas de problème de marche, …</w:t>
      </w:r>
    </w:p>
    <w:p w14:paraId="09416457" w14:textId="77777777" w:rsidR="00336854" w:rsidRPr="00336854" w:rsidRDefault="00336854" w:rsidP="00336854">
      <w:pPr>
        <w:numPr>
          <w:ilvl w:val="0"/>
          <w:numId w:val="4"/>
        </w:numPr>
      </w:pPr>
      <w:r w:rsidRPr="00336854">
        <w:rPr>
          <w:b/>
          <w:bCs/>
        </w:rPr>
        <w:t>Justification</w:t>
      </w:r>
      <w:r w:rsidRPr="00336854">
        <w:t> : Une explication détaillée du besoin en lien avec le handicap est nécessaire pour justifier la demande de financement.</w:t>
      </w:r>
    </w:p>
    <w:p w14:paraId="2CB3228A" w14:textId="77777777" w:rsidR="00336854" w:rsidRDefault="00336854" w:rsidP="00336854">
      <w:pPr>
        <w:numPr>
          <w:ilvl w:val="0"/>
          <w:numId w:val="4"/>
        </w:numPr>
      </w:pPr>
      <w:r w:rsidRPr="00336854">
        <w:rPr>
          <w:b/>
          <w:bCs/>
        </w:rPr>
        <w:t>Conditions : </w:t>
      </w:r>
      <w:r w:rsidRPr="00336854">
        <w:t>un comparatif tarifaire entre un déplacement standard et attendu est demandé pour justifier le surcoût</w:t>
      </w:r>
    </w:p>
    <w:p w14:paraId="267A7AE8" w14:textId="77777777" w:rsidR="007B2A74" w:rsidRPr="00336854" w:rsidRDefault="007B2A74" w:rsidP="007B2A74">
      <w:pPr>
        <w:ind w:left="720"/>
      </w:pPr>
    </w:p>
    <w:p w14:paraId="27CAD7E3" w14:textId="3EE3BA85" w:rsidR="00336854" w:rsidRPr="00336854" w:rsidRDefault="00336854" w:rsidP="0086078A">
      <w:pPr>
        <w:pStyle w:val="Paragraphedeliste"/>
        <w:numPr>
          <w:ilvl w:val="0"/>
          <w:numId w:val="8"/>
        </w:numPr>
      </w:pPr>
      <w:r w:rsidRPr="0086078A">
        <w:rPr>
          <w:b/>
          <w:bCs/>
        </w:rPr>
        <w:t>Logement</w:t>
      </w:r>
      <w:r w:rsidRPr="00336854">
        <w:br/>
        <w:t>Le financement peut couvrir un logement adapté ou situé à proximité des infrastructures nécessaires pour le bon déroulement de la mobilité.</w:t>
      </w:r>
    </w:p>
    <w:p w14:paraId="2BC8F868" w14:textId="77777777" w:rsidR="00336854" w:rsidRPr="00336854" w:rsidRDefault="00336854" w:rsidP="00336854">
      <w:pPr>
        <w:numPr>
          <w:ilvl w:val="0"/>
          <w:numId w:val="5"/>
        </w:numPr>
      </w:pPr>
      <w:r w:rsidRPr="00336854">
        <w:rPr>
          <w:b/>
          <w:bCs/>
        </w:rPr>
        <w:lastRenderedPageBreak/>
        <w:t>Justification</w:t>
      </w:r>
      <w:r w:rsidRPr="00336854">
        <w:t> : La nécessité d'un logement adapté ou d'une proximité particulière (en raison de la mobilité réduite ou autre handicap) devra être justifiée.</w:t>
      </w:r>
    </w:p>
    <w:p w14:paraId="57EE788F" w14:textId="77777777" w:rsidR="00336854" w:rsidRPr="00336854" w:rsidRDefault="00336854" w:rsidP="00336854">
      <w:pPr>
        <w:numPr>
          <w:ilvl w:val="0"/>
          <w:numId w:val="5"/>
        </w:numPr>
      </w:pPr>
      <w:r w:rsidRPr="00336854">
        <w:rPr>
          <w:b/>
          <w:bCs/>
        </w:rPr>
        <w:t>Conditions : </w:t>
      </w:r>
      <w:r w:rsidRPr="00336854">
        <w:t>un comparatif tarifaire entre un logement standard et attendu est demandé pour justifier le surcoût</w:t>
      </w:r>
    </w:p>
    <w:p w14:paraId="7293EA6D" w14:textId="77777777" w:rsidR="00336854" w:rsidRPr="00336854" w:rsidRDefault="00336854" w:rsidP="00336854">
      <w:r w:rsidRPr="00336854">
        <w:t> </w:t>
      </w:r>
    </w:p>
    <w:p w14:paraId="2F9547B1" w14:textId="3218BBA3" w:rsidR="00336854" w:rsidRPr="00336854" w:rsidRDefault="00336854" w:rsidP="007B2A74">
      <w:pPr>
        <w:pStyle w:val="Paragraphedeliste"/>
        <w:numPr>
          <w:ilvl w:val="0"/>
          <w:numId w:val="8"/>
        </w:numPr>
      </w:pPr>
      <w:r w:rsidRPr="007B2A74">
        <w:rPr>
          <w:b/>
          <w:bCs/>
        </w:rPr>
        <w:t>Aide humaine</w:t>
      </w:r>
      <w:r w:rsidRPr="00336854">
        <w:br/>
        <w:t>Si l’étudiant a besoin d’une aide humaine pour se déplacer, réaliser des tâches quotidiennes ou bénéficier d'un accompagnement spécifique durant son séjour à l’étranger, ces frais peuvent être pris en charge. Par exemple : un assistant personnel, interprète en langue des signes, accompagnateur pour les déplacements…</w:t>
      </w:r>
    </w:p>
    <w:p w14:paraId="0CEC20F4" w14:textId="77777777" w:rsidR="00336854" w:rsidRPr="00336854" w:rsidRDefault="00336854" w:rsidP="00336854">
      <w:pPr>
        <w:numPr>
          <w:ilvl w:val="0"/>
          <w:numId w:val="6"/>
        </w:numPr>
      </w:pPr>
      <w:r w:rsidRPr="00336854">
        <w:rPr>
          <w:b/>
          <w:bCs/>
        </w:rPr>
        <w:t>Justification</w:t>
      </w:r>
      <w:r w:rsidRPr="00336854">
        <w:t> : Une justification claire du besoin d'aide humaine liée au handicap doit être fournie.</w:t>
      </w:r>
    </w:p>
    <w:p w14:paraId="59B8E756" w14:textId="77777777" w:rsidR="00336854" w:rsidRPr="00336854" w:rsidRDefault="00336854" w:rsidP="00336854">
      <w:r w:rsidRPr="00336854">
        <w:t> </w:t>
      </w:r>
    </w:p>
    <w:p w14:paraId="258FBF03" w14:textId="0773226D" w:rsidR="00336854" w:rsidRPr="00336854" w:rsidRDefault="00336854" w:rsidP="007B2A74">
      <w:pPr>
        <w:pStyle w:val="Paragraphedeliste"/>
        <w:numPr>
          <w:ilvl w:val="0"/>
          <w:numId w:val="8"/>
        </w:numPr>
      </w:pPr>
      <w:r w:rsidRPr="007B2A74">
        <w:rPr>
          <w:b/>
          <w:bCs/>
        </w:rPr>
        <w:t>Matériel adapté</w:t>
      </w:r>
      <w:r w:rsidRPr="00336854">
        <w:br/>
        <w:t>Si un matériel spécifique est nécessaire pour répondre aux besoins particuliers de l’étudiant en situation de handicap (ex : fauteuil roulant, matériel informatique), le financement peut couvrir l’achat ou la location de ce matériel.</w:t>
      </w:r>
    </w:p>
    <w:p w14:paraId="169F97BB" w14:textId="77777777" w:rsidR="00336854" w:rsidRPr="00336854" w:rsidRDefault="00336854" w:rsidP="00336854">
      <w:pPr>
        <w:numPr>
          <w:ilvl w:val="0"/>
          <w:numId w:val="7"/>
        </w:numPr>
      </w:pPr>
      <w:r w:rsidRPr="00336854">
        <w:rPr>
          <w:b/>
          <w:bCs/>
        </w:rPr>
        <w:t>Justification</w:t>
      </w:r>
      <w:r w:rsidRPr="00336854">
        <w:t> : Un devis pour l’acquisition ou la location du matériel adapté sera requis.</w:t>
      </w:r>
    </w:p>
    <w:p w14:paraId="0E197E4A" w14:textId="77777777" w:rsidR="007D6ED0" w:rsidRDefault="00336854" w:rsidP="00336854">
      <w:r w:rsidRPr="00336854">
        <w:t> </w:t>
      </w:r>
    </w:p>
    <w:p w14:paraId="43D2CA0F" w14:textId="38C58F5C" w:rsidR="00336854" w:rsidRPr="00336854" w:rsidRDefault="00336854" w:rsidP="007D6ED0">
      <w:pPr>
        <w:pStyle w:val="Paragraphedeliste"/>
        <w:numPr>
          <w:ilvl w:val="0"/>
          <w:numId w:val="8"/>
        </w:numPr>
      </w:pPr>
      <w:r w:rsidRPr="007D6ED0">
        <w:rPr>
          <w:b/>
          <w:bCs/>
        </w:rPr>
        <w:t>Autres dépenses</w:t>
      </w:r>
      <w:r w:rsidRPr="00336854">
        <w:br/>
        <w:t>D’autres dépenses spécifiques liées au handicap et à la mobilité internationale peuvent également être prises en charge, sous réserve de justification.</w:t>
      </w:r>
    </w:p>
    <w:p w14:paraId="089E69C2" w14:textId="77777777" w:rsidR="00336854" w:rsidRPr="00336854" w:rsidRDefault="00336854" w:rsidP="00336854">
      <w:r w:rsidRPr="00336854">
        <w:t> </w:t>
      </w:r>
    </w:p>
    <w:p w14:paraId="404BF5D1" w14:textId="77777777" w:rsidR="00336854" w:rsidRPr="00336854" w:rsidRDefault="00336854" w:rsidP="00336854">
      <w:r w:rsidRPr="00336854">
        <w:t> </w:t>
      </w:r>
    </w:p>
    <w:p w14:paraId="3D223190" w14:textId="77777777" w:rsidR="00336854" w:rsidRPr="00336854" w:rsidRDefault="00336854" w:rsidP="00336854">
      <w:r w:rsidRPr="00336854">
        <w:t xml:space="preserve">Cette liste vise à garantir une mobilité accessible aux étudiants en situation de handicap en </w:t>
      </w:r>
      <w:r w:rsidRPr="00336854">
        <w:rPr>
          <w:b/>
          <w:bCs/>
        </w:rPr>
        <w:t>couvrant les surcoûts liés à leur situation</w:t>
      </w:r>
      <w:r w:rsidRPr="00336854">
        <w:t>. Les demandes devront être accompagnées de justificatifs pour permettre une évaluation personnalisée des besoins.</w:t>
      </w:r>
    </w:p>
    <w:p w14:paraId="63D42499" w14:textId="77777777" w:rsidR="00336854" w:rsidRPr="00336854" w:rsidRDefault="00336854" w:rsidP="00336854">
      <w:r w:rsidRPr="00336854">
        <w:t> </w:t>
      </w:r>
    </w:p>
    <w:p w14:paraId="7A457D08" w14:textId="3B0D29BA" w:rsidR="00534A53" w:rsidRPr="00894259" w:rsidRDefault="007E6C33" w:rsidP="00534A53">
      <w:r>
        <w:t xml:space="preserve">Afin de faciliter le calcul des surcouts liés au handicap et à la mobilité vous pouvez renseigner les dépenses envisagées dans le tableau ci-dessous. </w:t>
      </w:r>
    </w:p>
    <w:tbl>
      <w:tblPr>
        <w:tblStyle w:val="Grilledutableau"/>
        <w:tblW w:w="11057" w:type="dxa"/>
        <w:tblInd w:w="-856" w:type="dxa"/>
        <w:tblLook w:val="04A0" w:firstRow="1" w:lastRow="0" w:firstColumn="1" w:lastColumn="0" w:noHBand="0" w:noVBand="1"/>
      </w:tblPr>
      <w:tblGrid>
        <w:gridCol w:w="1107"/>
        <w:gridCol w:w="1620"/>
        <w:gridCol w:w="1863"/>
        <w:gridCol w:w="1542"/>
        <w:gridCol w:w="3161"/>
        <w:gridCol w:w="1764"/>
      </w:tblGrid>
      <w:tr w:rsidR="008818DF" w14:paraId="47D2C652" w14:textId="77777777" w:rsidTr="00E92788">
        <w:tc>
          <w:tcPr>
            <w:tcW w:w="1107" w:type="dxa"/>
          </w:tcPr>
          <w:p w14:paraId="65787AE3" w14:textId="77777777" w:rsidR="008818DF" w:rsidRDefault="008818DF" w:rsidP="00E92788"/>
        </w:tc>
        <w:tc>
          <w:tcPr>
            <w:tcW w:w="1641" w:type="dxa"/>
            <w:shd w:val="clear" w:color="auto" w:fill="CAEDFB" w:themeFill="accent4" w:themeFillTint="33"/>
          </w:tcPr>
          <w:p w14:paraId="5A0F3C4B" w14:textId="77777777" w:rsidR="008818DF" w:rsidRDefault="008818DF" w:rsidP="00E92788">
            <w:r>
              <w:t>Type de dépense</w:t>
            </w:r>
          </w:p>
        </w:tc>
        <w:tc>
          <w:tcPr>
            <w:tcW w:w="1904" w:type="dxa"/>
            <w:shd w:val="clear" w:color="auto" w:fill="CAEDFB" w:themeFill="accent4" w:themeFillTint="33"/>
          </w:tcPr>
          <w:p w14:paraId="1588DD52" w14:textId="77777777" w:rsidR="008818DF" w:rsidRDefault="008818DF" w:rsidP="00E92788">
            <w:r>
              <w:t>Coût de la dépense initiale</w:t>
            </w:r>
          </w:p>
        </w:tc>
        <w:tc>
          <w:tcPr>
            <w:tcW w:w="1560" w:type="dxa"/>
            <w:shd w:val="clear" w:color="auto" w:fill="CAEDFB" w:themeFill="accent4" w:themeFillTint="33"/>
          </w:tcPr>
          <w:p w14:paraId="3E9F3E9F" w14:textId="77777777" w:rsidR="008818DF" w:rsidRDefault="008818DF" w:rsidP="00E92788">
            <w:r>
              <w:t>Coût en raison du handicap et / ou de la mobilité</w:t>
            </w:r>
          </w:p>
        </w:tc>
        <w:tc>
          <w:tcPr>
            <w:tcW w:w="3286" w:type="dxa"/>
            <w:shd w:val="clear" w:color="auto" w:fill="CAEDFB" w:themeFill="accent4" w:themeFillTint="33"/>
          </w:tcPr>
          <w:p w14:paraId="7E323D90" w14:textId="77ABDC33" w:rsidR="008818DF" w:rsidRDefault="008818DF" w:rsidP="00E92788">
            <w:r>
              <w:t>Calcul du surco</w:t>
            </w:r>
            <w:r w:rsidR="00EB083D">
              <w:t>û</w:t>
            </w:r>
            <w:r>
              <w:t>t pour toute la durée de la mobilité</w:t>
            </w:r>
          </w:p>
        </w:tc>
        <w:tc>
          <w:tcPr>
            <w:tcW w:w="1559" w:type="dxa"/>
            <w:shd w:val="clear" w:color="auto" w:fill="CAEDFB" w:themeFill="accent4" w:themeFillTint="33"/>
          </w:tcPr>
          <w:p w14:paraId="6870BB6A" w14:textId="77777777" w:rsidR="008818DF" w:rsidRDefault="008818DF" w:rsidP="00E92788">
            <w:r>
              <w:t>Commentaires</w:t>
            </w:r>
          </w:p>
        </w:tc>
      </w:tr>
      <w:tr w:rsidR="008818DF" w14:paraId="6E78226F" w14:textId="77777777" w:rsidTr="00E92788">
        <w:tc>
          <w:tcPr>
            <w:tcW w:w="1107" w:type="dxa"/>
            <w:shd w:val="clear" w:color="auto" w:fill="D9F2D0" w:themeFill="accent6" w:themeFillTint="33"/>
          </w:tcPr>
          <w:p w14:paraId="7C0F1871" w14:textId="77777777" w:rsidR="008818DF" w:rsidRDefault="008818DF" w:rsidP="00E92788">
            <w:r>
              <w:t>Exemple</w:t>
            </w:r>
          </w:p>
        </w:tc>
        <w:tc>
          <w:tcPr>
            <w:tcW w:w="1641" w:type="dxa"/>
            <w:shd w:val="clear" w:color="auto" w:fill="D9F2D0" w:themeFill="accent6" w:themeFillTint="33"/>
          </w:tcPr>
          <w:p w14:paraId="6A29B364" w14:textId="77777777" w:rsidR="008818DF" w:rsidRDefault="008818DF" w:rsidP="00E92788">
            <w:r>
              <w:t>Loyer à Madrid</w:t>
            </w:r>
          </w:p>
        </w:tc>
        <w:tc>
          <w:tcPr>
            <w:tcW w:w="1904" w:type="dxa"/>
            <w:shd w:val="clear" w:color="auto" w:fill="D9F2D0" w:themeFill="accent6" w:themeFillTint="33"/>
          </w:tcPr>
          <w:p w14:paraId="5CD3E568" w14:textId="77777777" w:rsidR="008818DF" w:rsidRDefault="008818DF" w:rsidP="00E92788">
            <w:r>
              <w:t xml:space="preserve">Montant d’un loyer moyen à Madrid </w:t>
            </w:r>
            <w:r w:rsidRPr="00186DCF">
              <w:rPr>
                <w:b/>
                <w:bCs/>
              </w:rPr>
              <w:t>(C1)</w:t>
            </w:r>
          </w:p>
        </w:tc>
        <w:tc>
          <w:tcPr>
            <w:tcW w:w="1560" w:type="dxa"/>
            <w:shd w:val="clear" w:color="auto" w:fill="D9F2D0" w:themeFill="accent6" w:themeFillTint="33"/>
          </w:tcPr>
          <w:p w14:paraId="4814BE11" w14:textId="77777777" w:rsidR="008818DF" w:rsidRDefault="008818DF" w:rsidP="00E92788">
            <w:r>
              <w:t xml:space="preserve">Montant du loyer pour un logement aménagé à Madrid </w:t>
            </w:r>
            <w:r w:rsidRPr="00186DCF">
              <w:rPr>
                <w:b/>
                <w:bCs/>
              </w:rPr>
              <w:t>(C2)</w:t>
            </w:r>
          </w:p>
        </w:tc>
        <w:tc>
          <w:tcPr>
            <w:tcW w:w="3286" w:type="dxa"/>
            <w:shd w:val="clear" w:color="auto" w:fill="D9F2D0" w:themeFill="accent6" w:themeFillTint="33"/>
          </w:tcPr>
          <w:p w14:paraId="5ECC729B" w14:textId="77777777" w:rsidR="008818DF" w:rsidRDefault="008818DF" w:rsidP="00E92788">
            <w:r>
              <w:t xml:space="preserve">Montant du loyer pour un logement aménagé à Madrid </w:t>
            </w:r>
            <w:r w:rsidRPr="000446CF">
              <w:rPr>
                <w:b/>
                <w:bCs/>
              </w:rPr>
              <w:t xml:space="preserve">MOINS </w:t>
            </w:r>
          </w:p>
          <w:p w14:paraId="64559BBE" w14:textId="77777777" w:rsidR="008818DF" w:rsidRDefault="008818DF" w:rsidP="00E92788">
            <w:r>
              <w:t xml:space="preserve">Montant d’un loyer moyen à Madrid </w:t>
            </w:r>
          </w:p>
          <w:p w14:paraId="4344B665" w14:textId="77777777" w:rsidR="008818DF" w:rsidRPr="00B714AD" w:rsidRDefault="008818DF" w:rsidP="00E92788">
            <w:pPr>
              <w:rPr>
                <w:b/>
                <w:bCs/>
              </w:rPr>
            </w:pPr>
            <w:r>
              <w:rPr>
                <w:b/>
                <w:bCs/>
              </w:rPr>
              <w:t>C</w:t>
            </w:r>
            <w:r w:rsidRPr="00B714AD">
              <w:rPr>
                <w:b/>
                <w:bCs/>
              </w:rPr>
              <w:t xml:space="preserve">1 – </w:t>
            </w:r>
            <w:r>
              <w:rPr>
                <w:b/>
                <w:bCs/>
              </w:rPr>
              <w:t>C</w:t>
            </w:r>
            <w:r w:rsidRPr="00B714AD">
              <w:rPr>
                <w:b/>
                <w:bCs/>
              </w:rPr>
              <w:t xml:space="preserve">2 </w:t>
            </w:r>
          </w:p>
        </w:tc>
        <w:tc>
          <w:tcPr>
            <w:tcW w:w="1559" w:type="dxa"/>
            <w:shd w:val="clear" w:color="auto" w:fill="D9F2D0" w:themeFill="accent6" w:themeFillTint="33"/>
          </w:tcPr>
          <w:p w14:paraId="3E160986" w14:textId="674848A5" w:rsidR="008818DF" w:rsidRDefault="008818DF" w:rsidP="00E92788">
            <w:r>
              <w:t>Liens internet pour justifier les co</w:t>
            </w:r>
            <w:r w:rsidR="00EB083D">
              <w:t>û</w:t>
            </w:r>
            <w:r>
              <w:t>ts</w:t>
            </w:r>
          </w:p>
        </w:tc>
      </w:tr>
      <w:tr w:rsidR="008818DF" w14:paraId="42510130" w14:textId="77777777" w:rsidTr="00E92788">
        <w:tc>
          <w:tcPr>
            <w:tcW w:w="1107" w:type="dxa"/>
            <w:shd w:val="clear" w:color="auto" w:fill="B3E5A1" w:themeFill="accent6" w:themeFillTint="66"/>
          </w:tcPr>
          <w:p w14:paraId="11CDE47A" w14:textId="77777777" w:rsidR="008818DF" w:rsidRDefault="008818DF" w:rsidP="00E92788">
            <w:r>
              <w:t>Exemple</w:t>
            </w:r>
          </w:p>
        </w:tc>
        <w:tc>
          <w:tcPr>
            <w:tcW w:w="1641" w:type="dxa"/>
            <w:shd w:val="clear" w:color="auto" w:fill="B3E5A1" w:themeFill="accent6" w:themeFillTint="66"/>
          </w:tcPr>
          <w:p w14:paraId="22C2E261" w14:textId="77777777" w:rsidR="008818DF" w:rsidRDefault="008818DF" w:rsidP="00E92788">
            <w:r>
              <w:t xml:space="preserve">Traitement médical </w:t>
            </w:r>
          </w:p>
          <w:p w14:paraId="297376B6" w14:textId="77777777" w:rsidR="008818DF" w:rsidRDefault="008818DF" w:rsidP="00E92788">
            <w:r>
              <w:t>au Japon</w:t>
            </w:r>
          </w:p>
        </w:tc>
        <w:tc>
          <w:tcPr>
            <w:tcW w:w="1904" w:type="dxa"/>
            <w:shd w:val="clear" w:color="auto" w:fill="B3E5A1" w:themeFill="accent6" w:themeFillTint="66"/>
          </w:tcPr>
          <w:p w14:paraId="4D9DE4EE" w14:textId="77777777" w:rsidR="008818DF" w:rsidRDefault="008818DF" w:rsidP="00E92788">
            <w:r>
              <w:t xml:space="preserve">Montant du traitement en France </w:t>
            </w:r>
            <w:r w:rsidRPr="00186DCF">
              <w:rPr>
                <w:b/>
                <w:bCs/>
              </w:rPr>
              <w:t>(C1)</w:t>
            </w:r>
          </w:p>
        </w:tc>
        <w:tc>
          <w:tcPr>
            <w:tcW w:w="1560" w:type="dxa"/>
            <w:shd w:val="clear" w:color="auto" w:fill="B3E5A1" w:themeFill="accent6" w:themeFillTint="66"/>
          </w:tcPr>
          <w:p w14:paraId="3D645CDF" w14:textId="77777777" w:rsidR="008818DF" w:rsidRDefault="008818DF" w:rsidP="00E92788">
            <w:r>
              <w:t xml:space="preserve">Montant du traitement au Japon </w:t>
            </w:r>
            <w:r w:rsidRPr="00186DCF">
              <w:rPr>
                <w:b/>
                <w:bCs/>
              </w:rPr>
              <w:t>(C2)</w:t>
            </w:r>
          </w:p>
        </w:tc>
        <w:tc>
          <w:tcPr>
            <w:tcW w:w="3286" w:type="dxa"/>
            <w:shd w:val="clear" w:color="auto" w:fill="B3E5A1" w:themeFill="accent6" w:themeFillTint="66"/>
          </w:tcPr>
          <w:p w14:paraId="4E4BABC1" w14:textId="77777777" w:rsidR="008818DF" w:rsidRDefault="008818DF" w:rsidP="00E92788">
            <w:r>
              <w:t xml:space="preserve">Montant du traitement en France </w:t>
            </w:r>
          </w:p>
          <w:p w14:paraId="4808F5A9" w14:textId="77777777" w:rsidR="008818DF" w:rsidRPr="000446CF" w:rsidRDefault="008818DF" w:rsidP="00E92788">
            <w:pPr>
              <w:rPr>
                <w:b/>
                <w:bCs/>
              </w:rPr>
            </w:pPr>
            <w:r w:rsidRPr="000446CF">
              <w:rPr>
                <w:b/>
                <w:bCs/>
              </w:rPr>
              <w:t xml:space="preserve">MOINS </w:t>
            </w:r>
          </w:p>
          <w:p w14:paraId="1AC5397A" w14:textId="77777777" w:rsidR="008818DF" w:rsidRDefault="008818DF" w:rsidP="00E92788">
            <w:r>
              <w:t xml:space="preserve">Montant du traitement au Japon </w:t>
            </w:r>
          </w:p>
          <w:p w14:paraId="1B3AB213" w14:textId="77777777" w:rsidR="008818DF" w:rsidRDefault="008818DF" w:rsidP="00E92788">
            <w:r>
              <w:rPr>
                <w:b/>
                <w:bCs/>
              </w:rPr>
              <w:t>C</w:t>
            </w:r>
            <w:r w:rsidRPr="00B714AD">
              <w:rPr>
                <w:b/>
                <w:bCs/>
              </w:rPr>
              <w:t xml:space="preserve">1 – </w:t>
            </w:r>
            <w:r>
              <w:rPr>
                <w:b/>
                <w:bCs/>
              </w:rPr>
              <w:t>C</w:t>
            </w:r>
            <w:r w:rsidRPr="00B714AD">
              <w:rPr>
                <w:b/>
                <w:bCs/>
              </w:rPr>
              <w:t>2</w:t>
            </w:r>
          </w:p>
        </w:tc>
        <w:tc>
          <w:tcPr>
            <w:tcW w:w="1559" w:type="dxa"/>
            <w:shd w:val="clear" w:color="auto" w:fill="B3E5A1" w:themeFill="accent6" w:themeFillTint="66"/>
          </w:tcPr>
          <w:p w14:paraId="35CE3195" w14:textId="18DFEF9B" w:rsidR="008818DF" w:rsidRDefault="008818DF" w:rsidP="00E92788">
            <w:r>
              <w:t>Liens internet pour justifier les co</w:t>
            </w:r>
            <w:r w:rsidR="00EB083D">
              <w:t>û</w:t>
            </w:r>
            <w:r>
              <w:t>ts</w:t>
            </w:r>
          </w:p>
        </w:tc>
      </w:tr>
      <w:tr w:rsidR="000342B0" w14:paraId="433EA403" w14:textId="77777777" w:rsidTr="000A7951">
        <w:tc>
          <w:tcPr>
            <w:tcW w:w="1107" w:type="dxa"/>
            <w:shd w:val="clear" w:color="auto" w:fill="FFFFFF" w:themeFill="background1"/>
          </w:tcPr>
          <w:p w14:paraId="5C73D8F5" w14:textId="77777777" w:rsidR="000342B0" w:rsidRDefault="000342B0" w:rsidP="00E92788"/>
        </w:tc>
        <w:tc>
          <w:tcPr>
            <w:tcW w:w="1641" w:type="dxa"/>
            <w:shd w:val="clear" w:color="auto" w:fill="FFFFFF" w:themeFill="background1"/>
          </w:tcPr>
          <w:p w14:paraId="6357240A" w14:textId="77777777" w:rsidR="000342B0" w:rsidRDefault="000342B0" w:rsidP="00E92788"/>
        </w:tc>
        <w:tc>
          <w:tcPr>
            <w:tcW w:w="1904" w:type="dxa"/>
            <w:shd w:val="clear" w:color="auto" w:fill="FFFFFF" w:themeFill="background1"/>
          </w:tcPr>
          <w:p w14:paraId="210E8933" w14:textId="77777777" w:rsidR="000342B0" w:rsidRDefault="000342B0" w:rsidP="00E92788"/>
        </w:tc>
        <w:tc>
          <w:tcPr>
            <w:tcW w:w="1560" w:type="dxa"/>
            <w:shd w:val="clear" w:color="auto" w:fill="FFFFFF" w:themeFill="background1"/>
          </w:tcPr>
          <w:p w14:paraId="45B21CC7" w14:textId="77777777" w:rsidR="000342B0" w:rsidRDefault="000342B0" w:rsidP="00E92788"/>
        </w:tc>
        <w:tc>
          <w:tcPr>
            <w:tcW w:w="3286" w:type="dxa"/>
            <w:shd w:val="clear" w:color="auto" w:fill="FFFFFF" w:themeFill="background1"/>
          </w:tcPr>
          <w:p w14:paraId="5D06E16C" w14:textId="424550EB" w:rsidR="000342B0" w:rsidRDefault="000342B0" w:rsidP="00E92788">
            <w:r>
              <w:t>TOTAL DES SURCO</w:t>
            </w:r>
            <w:r w:rsidR="000A7951">
              <w:t>UTS (qui sera le montant de la demande</w:t>
            </w:r>
            <w:r w:rsidR="00BA34BB">
              <w:t xml:space="preserve"> de bourse globale</w:t>
            </w:r>
            <w:r w:rsidR="000A7951">
              <w:t xml:space="preserve">) =   </w:t>
            </w:r>
            <w:r w:rsidR="000A7951" w:rsidRPr="000A7951">
              <w:rPr>
                <w:b/>
                <w:bCs/>
              </w:rPr>
              <w:t>XX euros</w:t>
            </w:r>
          </w:p>
        </w:tc>
        <w:tc>
          <w:tcPr>
            <w:tcW w:w="1559" w:type="dxa"/>
            <w:shd w:val="clear" w:color="auto" w:fill="FFFFFF" w:themeFill="background1"/>
          </w:tcPr>
          <w:p w14:paraId="6C02D1FC" w14:textId="77777777" w:rsidR="000342B0" w:rsidRDefault="000342B0" w:rsidP="00E92788"/>
        </w:tc>
      </w:tr>
    </w:tbl>
    <w:p w14:paraId="05A6A79A" w14:textId="77777777" w:rsidR="008818DF" w:rsidRPr="008818DF" w:rsidRDefault="008818DF"/>
    <w:p w14:paraId="0EE5C5DE" w14:textId="20270F58" w:rsidR="00BE6916" w:rsidRPr="00C808D9" w:rsidRDefault="00C808D9">
      <w:pPr>
        <w:rPr>
          <w:b/>
          <w:bCs/>
          <w:u w:val="single"/>
        </w:rPr>
      </w:pPr>
      <w:r w:rsidRPr="00C808D9">
        <w:rPr>
          <w:b/>
          <w:bCs/>
          <w:u w:val="single"/>
        </w:rPr>
        <w:t>4</w:t>
      </w:r>
      <w:r w:rsidR="00BE6916" w:rsidRPr="00C808D9">
        <w:rPr>
          <w:b/>
          <w:bCs/>
          <w:u w:val="single"/>
        </w:rPr>
        <w:t xml:space="preserve">/ Pièces justificatives </w:t>
      </w:r>
    </w:p>
    <w:p w14:paraId="3694E12E" w14:textId="5164A911" w:rsidR="00BE6916" w:rsidRDefault="00BE6916" w:rsidP="006B719A">
      <w:pPr>
        <w:pStyle w:val="Paragraphedeliste"/>
        <w:numPr>
          <w:ilvl w:val="0"/>
          <w:numId w:val="2"/>
        </w:numPr>
      </w:pPr>
      <w:r>
        <w:t>Le présent formulaire dûment complété</w:t>
      </w:r>
      <w:r w:rsidR="00E050E9">
        <w:t xml:space="preserve"> et signé </w:t>
      </w:r>
    </w:p>
    <w:p w14:paraId="4321B077" w14:textId="1A8BEF02" w:rsidR="00A42C61" w:rsidRDefault="00A42C61" w:rsidP="006B719A">
      <w:pPr>
        <w:pStyle w:val="Paragraphedeliste"/>
        <w:numPr>
          <w:ilvl w:val="0"/>
          <w:numId w:val="2"/>
        </w:numPr>
      </w:pPr>
      <w:r>
        <w:t xml:space="preserve">Justificatif de handicap </w:t>
      </w:r>
      <w:r w:rsidR="00967FD5">
        <w:t xml:space="preserve">(ex : RQTH, avis du médecin CDAPH, </w:t>
      </w:r>
      <w:r w:rsidR="00EB5AD3">
        <w:t xml:space="preserve">tout justificatif stipulant l’impact d’un trouble sur le quotidien ou </w:t>
      </w:r>
      <w:r w:rsidR="00270B69">
        <w:t>les apprentissages</w:t>
      </w:r>
      <w:r w:rsidR="00EB5AD3">
        <w:t xml:space="preserve"> de l’étudiant est pertinent)</w:t>
      </w:r>
    </w:p>
    <w:p w14:paraId="5D09CB22" w14:textId="7381E154" w:rsidR="008E70CF" w:rsidRDefault="008E70CF" w:rsidP="006B719A">
      <w:pPr>
        <w:pStyle w:val="Paragraphedeliste"/>
        <w:numPr>
          <w:ilvl w:val="0"/>
          <w:numId w:val="2"/>
        </w:numPr>
      </w:pPr>
      <w:r>
        <w:t xml:space="preserve">Lettre explicative des </w:t>
      </w:r>
      <w:r w:rsidR="003E76E6">
        <w:t xml:space="preserve">dépenses </w:t>
      </w:r>
      <w:r w:rsidR="005E3FEF">
        <w:t xml:space="preserve">(notamment le lien </w:t>
      </w:r>
      <w:r w:rsidR="00270B69">
        <w:t xml:space="preserve">du tableau des dépenses </w:t>
      </w:r>
      <w:r w:rsidR="005E3FEF">
        <w:t>avec la situation de handicap et la mobilité)</w:t>
      </w:r>
    </w:p>
    <w:p w14:paraId="31BF3A20" w14:textId="40326C9E" w:rsidR="00244D85" w:rsidRDefault="00244D85" w:rsidP="006B719A">
      <w:pPr>
        <w:pStyle w:val="Paragraphedeliste"/>
        <w:numPr>
          <w:ilvl w:val="0"/>
          <w:numId w:val="2"/>
        </w:numPr>
      </w:pPr>
      <w:r>
        <w:t xml:space="preserve">RIB de l’étudiant </w:t>
      </w:r>
    </w:p>
    <w:p w14:paraId="15707299" w14:textId="09449058" w:rsidR="00244D85" w:rsidRDefault="00244D85" w:rsidP="006B719A">
      <w:pPr>
        <w:pStyle w:val="Paragraphedeliste"/>
        <w:numPr>
          <w:ilvl w:val="0"/>
          <w:numId w:val="2"/>
        </w:numPr>
      </w:pPr>
      <w:r>
        <w:t>Une copie des demandes d’aides de type Erasmus +</w:t>
      </w:r>
      <w:r w:rsidR="00A57394">
        <w:t xml:space="preserve">, 100% </w:t>
      </w:r>
      <w:proofErr w:type="spellStart"/>
      <w:r w:rsidR="00A57394">
        <w:t>handinamique</w:t>
      </w:r>
      <w:proofErr w:type="spellEnd"/>
      <w:r w:rsidR="00A57394">
        <w:t xml:space="preserve"> … ou attestation sur l’honneur indiquant le non-bénéfice d’aide</w:t>
      </w:r>
    </w:p>
    <w:p w14:paraId="5EB95677" w14:textId="77777777" w:rsidR="00270B69" w:rsidRDefault="00270B69" w:rsidP="00684441">
      <w:pPr>
        <w:rPr>
          <w:b/>
          <w:bCs/>
          <w:u w:val="single"/>
        </w:rPr>
      </w:pPr>
    </w:p>
    <w:p w14:paraId="091D1076" w14:textId="77777777" w:rsidR="00E86F48" w:rsidRDefault="00E86F48">
      <w:pPr>
        <w:rPr>
          <w:b/>
          <w:bCs/>
          <w:u w:val="single"/>
        </w:rPr>
      </w:pPr>
      <w:r>
        <w:rPr>
          <w:b/>
          <w:bCs/>
          <w:u w:val="single"/>
        </w:rPr>
        <w:br w:type="page"/>
      </w:r>
    </w:p>
    <w:p w14:paraId="3CC40466" w14:textId="3C8D059C" w:rsidR="00684441" w:rsidRPr="00AA5311" w:rsidRDefault="00684441" w:rsidP="00684441">
      <w:pPr>
        <w:rPr>
          <w:b/>
          <w:bCs/>
          <w:u w:val="single"/>
        </w:rPr>
      </w:pPr>
      <w:r w:rsidRPr="00AA5311">
        <w:rPr>
          <w:b/>
          <w:bCs/>
          <w:u w:val="single"/>
        </w:rPr>
        <w:lastRenderedPageBreak/>
        <w:t>5/ Signature</w:t>
      </w:r>
      <w:r w:rsidR="00AA5311" w:rsidRPr="00AA5311">
        <w:rPr>
          <w:b/>
          <w:bCs/>
          <w:u w:val="single"/>
        </w:rPr>
        <w:t>s</w:t>
      </w:r>
    </w:p>
    <w:p w14:paraId="173D50DC" w14:textId="77777777" w:rsidR="00684441" w:rsidRDefault="00684441" w:rsidP="00684441"/>
    <w:p w14:paraId="77E9AB76" w14:textId="02C9C4FE" w:rsidR="00684441" w:rsidRDefault="00684441" w:rsidP="00684441">
      <w:r>
        <w:t>En remplissant ce formulaire de demande de bourse</w:t>
      </w:r>
      <w:r w:rsidR="00B74E1E">
        <w:t xml:space="preserve">, l’étudiant et le référent handicap de l’établissement </w:t>
      </w:r>
      <w:r w:rsidR="00AF3E10">
        <w:t xml:space="preserve">acceptent de </w:t>
      </w:r>
      <w:r w:rsidR="00B74E1E">
        <w:t>confie</w:t>
      </w:r>
      <w:r w:rsidR="00AF3E10">
        <w:t>r</w:t>
      </w:r>
      <w:r w:rsidR="00B74E1E">
        <w:t xml:space="preserve"> à la Conférence des grandes écoles </w:t>
      </w:r>
      <w:r w:rsidR="00AF3E10">
        <w:t>les pièces et les données mentionnées ci-dessus</w:t>
      </w:r>
      <w:r w:rsidR="00E94F7E">
        <w:t xml:space="preserve">. Ces informations seront enregistrées dans les bases de données de la Conférence des grandes écoles </w:t>
      </w:r>
      <w:r w:rsidR="002D2525">
        <w:t xml:space="preserve">et utilisées dans le cadre du dispositif des bourses de mobilité. </w:t>
      </w:r>
      <w:r w:rsidR="00E16B9E">
        <w:t xml:space="preserve">Elles ne sont communiquées à aucune autre personne ou organisation sans l’accord de l’étudiant ou du référent handicap. </w:t>
      </w:r>
    </w:p>
    <w:p w14:paraId="5158F783" w14:textId="7223A31E" w:rsidR="00270B69" w:rsidRDefault="00270B69" w:rsidP="00684441">
      <w:r>
        <w:t xml:space="preserve">En remplissant ce formulaire l’étudiant s’engage </w:t>
      </w:r>
      <w:r w:rsidR="00F769C1">
        <w:t>à</w:t>
      </w:r>
      <w:r w:rsidR="009F5919">
        <w:t xml:space="preserve"> effectuer une action de découverte des activités d</w:t>
      </w:r>
      <w:r w:rsidR="00813974">
        <w:t>es</w:t>
      </w:r>
      <w:r w:rsidR="009F5919">
        <w:t xml:space="preserve"> groupe</w:t>
      </w:r>
      <w:r w:rsidR="00813974">
        <w:t>s</w:t>
      </w:r>
      <w:r w:rsidR="009F5919">
        <w:t xml:space="preserve"> </w:t>
      </w:r>
      <w:proofErr w:type="spellStart"/>
      <w:r w:rsidR="009F5919">
        <w:t>TotalEnergies</w:t>
      </w:r>
      <w:proofErr w:type="spellEnd"/>
      <w:r w:rsidR="00813974">
        <w:t xml:space="preserve"> et </w:t>
      </w:r>
      <w:proofErr w:type="spellStart"/>
      <w:r w:rsidR="00813974">
        <w:t>AirLiquide</w:t>
      </w:r>
      <w:proofErr w:type="spellEnd"/>
      <w:r w:rsidR="006D703C">
        <w:t xml:space="preserve">, </w:t>
      </w:r>
      <w:r w:rsidR="00630FFD">
        <w:t xml:space="preserve">dans le cadre d’un duo café en </w:t>
      </w:r>
      <w:proofErr w:type="spellStart"/>
      <w:r w:rsidR="00630FFD">
        <w:t>visio</w:t>
      </w:r>
      <w:proofErr w:type="spellEnd"/>
      <w:r w:rsidR="00F769C1">
        <w:t xml:space="preserve"> et </w:t>
      </w:r>
      <w:r w:rsidR="006D703C">
        <w:t xml:space="preserve">sur proposition de l’entreprise. </w:t>
      </w:r>
    </w:p>
    <w:p w14:paraId="3777D1CA" w14:textId="0BA7A344" w:rsidR="00630FFD" w:rsidRDefault="00630FFD" w:rsidP="00684441">
      <w:r>
        <w:t>En signant ce document l’établissement s’engage à assurer la représentation de l’étudiant lors de la cérémonie de remise de la bourse, si celui-ci n’est pas en capacité de s’y rendre.</w:t>
      </w:r>
    </w:p>
    <w:p w14:paraId="76467585" w14:textId="359DA473" w:rsidR="00E16B9E" w:rsidRDefault="00E16B9E" w:rsidP="00684441">
      <w:r>
        <w:t xml:space="preserve">En signant ce document, l’étudiant et le référent handicap de l’établissement certifient </w:t>
      </w:r>
      <w:r w:rsidR="00503BAA">
        <w:t xml:space="preserve">sur l’honneur l’authenticité des pièces justificatives, transmises et des informations communiquées dans le dossier. </w:t>
      </w:r>
    </w:p>
    <w:p w14:paraId="3D8C28E6" w14:textId="793FF7C5" w:rsidR="00503BAA" w:rsidRDefault="00503BAA" w:rsidP="00684441">
      <w:r>
        <w:t xml:space="preserve">Fait à ……. </w:t>
      </w:r>
    </w:p>
    <w:p w14:paraId="7C98B236" w14:textId="38BB5BA3" w:rsidR="00503BAA" w:rsidRDefault="006B13F5" w:rsidP="00684441">
      <w:r>
        <w:t xml:space="preserve">Le …… </w:t>
      </w:r>
    </w:p>
    <w:p w14:paraId="3F650BAD" w14:textId="77777777" w:rsidR="006B13F5" w:rsidRDefault="006B13F5" w:rsidP="00684441"/>
    <w:p w14:paraId="4E0A4320" w14:textId="05DC3636" w:rsidR="006B13F5" w:rsidRDefault="006B13F5" w:rsidP="00684441">
      <w:r>
        <w:t xml:space="preserve">Signature précédée de la mention « Lu et approuvé » </w:t>
      </w:r>
    </w:p>
    <w:p w14:paraId="0A2A0358" w14:textId="77777777" w:rsidR="00090292" w:rsidRDefault="00090292" w:rsidP="00684441"/>
    <w:p w14:paraId="79C0749B" w14:textId="08CF0F47" w:rsidR="006B13F5" w:rsidRDefault="006B13F5" w:rsidP="00684441">
      <w:r>
        <w:t xml:space="preserve">L’étudiant : </w:t>
      </w:r>
    </w:p>
    <w:p w14:paraId="54045B44" w14:textId="77777777" w:rsidR="00090292" w:rsidRDefault="00090292" w:rsidP="00684441"/>
    <w:p w14:paraId="74F5145E" w14:textId="77777777" w:rsidR="00090292" w:rsidRDefault="00090292" w:rsidP="00684441"/>
    <w:p w14:paraId="28075039" w14:textId="77777777" w:rsidR="00090292" w:rsidRDefault="00090292" w:rsidP="00684441"/>
    <w:p w14:paraId="4913E47E" w14:textId="322F5F40" w:rsidR="007559BF" w:rsidRDefault="00A02ECB" w:rsidP="00684441">
      <w:r>
        <w:t xml:space="preserve">Le référent handicap ou tampon de l’établissement : </w:t>
      </w:r>
    </w:p>
    <w:p w14:paraId="180BFE55" w14:textId="77777777" w:rsidR="007559BF" w:rsidRDefault="007559BF">
      <w:r>
        <w:br w:type="page"/>
      </w:r>
    </w:p>
    <w:p w14:paraId="7C939AE1" w14:textId="68727A95" w:rsidR="00A02ECB" w:rsidRPr="003C1A6C" w:rsidRDefault="003C1A6C" w:rsidP="003C1A6C">
      <w:pPr>
        <w:jc w:val="center"/>
        <w:rPr>
          <w:b/>
          <w:bCs/>
          <w:color w:val="FFFFFF" w:themeColor="background1"/>
        </w:rPr>
      </w:pPr>
      <w:r w:rsidRPr="003C1A6C">
        <w:rPr>
          <w:b/>
          <w:bCs/>
          <w:noProof/>
          <w:color w:val="FFFFFF" w:themeColor="background1"/>
        </w:rPr>
        <w:lastRenderedPageBreak/>
        <mc:AlternateContent>
          <mc:Choice Requires="wps">
            <w:drawing>
              <wp:anchor distT="0" distB="0" distL="114300" distR="114300" simplePos="0" relativeHeight="251660288" behindDoc="1" locked="0" layoutInCell="1" allowOverlap="1" wp14:anchorId="5C0C280C" wp14:editId="07B73E3D">
                <wp:simplePos x="0" y="0"/>
                <wp:positionH relativeFrom="column">
                  <wp:posOffset>-724535</wp:posOffset>
                </wp:positionH>
                <wp:positionV relativeFrom="paragraph">
                  <wp:posOffset>-87630</wp:posOffset>
                </wp:positionV>
                <wp:extent cx="7315200" cy="609600"/>
                <wp:effectExtent l="0" t="0" r="19050" b="19050"/>
                <wp:wrapNone/>
                <wp:docPr id="1816741027" name="Rectangle 4"/>
                <wp:cNvGraphicFramePr/>
                <a:graphic xmlns:a="http://schemas.openxmlformats.org/drawingml/2006/main">
                  <a:graphicData uri="http://schemas.microsoft.com/office/word/2010/wordprocessingShape">
                    <wps:wsp>
                      <wps:cNvSpPr/>
                      <wps:spPr>
                        <a:xfrm>
                          <a:off x="0" y="0"/>
                          <a:ext cx="7315200" cy="6096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0DB52" id="Rectangle 4" o:spid="_x0000_s1026" style="position:absolute;margin-left:-57.05pt;margin-top:-6.9pt;width:8in;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" fillcolor="#156082 [3204]" strokecolor="#030e13 [484]" strokeweight="1pt"/>
            </w:pict>
          </mc:Fallback>
        </mc:AlternateContent>
      </w:r>
      <w:r w:rsidR="007559BF" w:rsidRPr="003C1A6C">
        <w:rPr>
          <w:b/>
          <w:bCs/>
          <w:color w:val="FFFFFF" w:themeColor="background1"/>
        </w:rPr>
        <w:t>Annexe </w:t>
      </w:r>
      <w:r w:rsidRPr="003C1A6C">
        <w:rPr>
          <w:b/>
          <w:bCs/>
          <w:color w:val="FFFFFF" w:themeColor="background1"/>
        </w:rPr>
        <w:t xml:space="preserve">au dossier de candidature </w:t>
      </w:r>
      <w:r w:rsidR="007559BF" w:rsidRPr="003C1A6C">
        <w:rPr>
          <w:b/>
          <w:bCs/>
          <w:color w:val="FFFFFF" w:themeColor="background1"/>
        </w:rPr>
        <w:t xml:space="preserve">: </w:t>
      </w:r>
      <w:r w:rsidRPr="003C1A6C">
        <w:rPr>
          <w:b/>
          <w:bCs/>
          <w:color w:val="FFFFFF" w:themeColor="background1"/>
        </w:rPr>
        <w:t>Conseils pour préparer la mobilité internationale des étudiants et étudiantes en situation de handicap</w:t>
      </w:r>
    </w:p>
    <w:p w14:paraId="7BFDD290" w14:textId="274B49C2" w:rsidR="003C1A6C" w:rsidRDefault="003C1A6C" w:rsidP="00684441"/>
    <w:p w14:paraId="35BA2370" w14:textId="68FD7BB2" w:rsidR="003C1A6C" w:rsidRDefault="003C1A6C" w:rsidP="00684441">
      <w:r>
        <w:t xml:space="preserve">Dans le </w:t>
      </w:r>
      <w:r w:rsidR="00572A6D">
        <w:t xml:space="preserve">cadre du partenariat entre la CGE et </w:t>
      </w:r>
      <w:r w:rsidR="009D5DEC">
        <w:t>les entreprises partenaires</w:t>
      </w:r>
      <w:r w:rsidR="00572A6D">
        <w:t xml:space="preserve">, des bourses sont attribuées pour accompagner la mobilité des étudiants et étudiantes en situation de handicap </w:t>
      </w:r>
      <w:r w:rsidR="00B46D63">
        <w:t xml:space="preserve">au sein des écoles membres de la Conférence des grandes écoles. </w:t>
      </w:r>
    </w:p>
    <w:p w14:paraId="182F0FDF" w14:textId="05C30A86" w:rsidR="00B46D63" w:rsidRDefault="00B46D63" w:rsidP="00684441">
      <w:r>
        <w:t>Les conseils ci-dessous sont à retrouver plus en détails dans l’étude exploratoire relative à la mobilité internationale de</w:t>
      </w:r>
      <w:r w:rsidR="003E1E19">
        <w:t xml:space="preserve">s étudiants en situation de handicap. Les éléments mentionnés ci-dessous y sont détaillés, précisant l’existant et des points d’attention. </w:t>
      </w:r>
    </w:p>
    <w:p w14:paraId="1A41746E" w14:textId="0D6A7019" w:rsidR="003E1E19" w:rsidRPr="008867A7" w:rsidRDefault="003E1E19" w:rsidP="00684441">
      <w:pPr>
        <w:rPr>
          <w:b/>
          <w:bCs/>
          <w:u w:val="single"/>
        </w:rPr>
      </w:pPr>
      <w:r w:rsidRPr="008867A7">
        <w:rPr>
          <w:b/>
          <w:bCs/>
          <w:u w:val="single"/>
        </w:rPr>
        <w:t>Médical</w:t>
      </w:r>
      <w:r w:rsidR="00C15112" w:rsidRPr="008867A7">
        <w:rPr>
          <w:b/>
          <w:bCs/>
          <w:u w:val="single"/>
        </w:rPr>
        <w:t xml:space="preserve"> : </w:t>
      </w:r>
    </w:p>
    <w:tbl>
      <w:tblPr>
        <w:tblStyle w:val="Grilledutableau"/>
        <w:tblW w:w="10774" w:type="dxa"/>
        <w:tblInd w:w="-714" w:type="dxa"/>
        <w:tblLook w:val="04A0" w:firstRow="1" w:lastRow="0" w:firstColumn="1" w:lastColumn="0" w:noHBand="0" w:noVBand="1"/>
      </w:tblPr>
      <w:tblGrid>
        <w:gridCol w:w="5245"/>
        <w:gridCol w:w="5529"/>
      </w:tblGrid>
      <w:tr w:rsidR="00C15112" w14:paraId="2644B1C3" w14:textId="77777777" w:rsidTr="000D5D99">
        <w:tc>
          <w:tcPr>
            <w:tcW w:w="5245" w:type="dxa"/>
            <w:shd w:val="clear" w:color="auto" w:fill="E8E8E8" w:themeFill="background2"/>
          </w:tcPr>
          <w:p w14:paraId="7BCB23F5" w14:textId="2D7CED2F" w:rsidR="00C15112" w:rsidRDefault="00C15112" w:rsidP="00684441">
            <w:r>
              <w:t>En Europe</w:t>
            </w:r>
          </w:p>
        </w:tc>
        <w:tc>
          <w:tcPr>
            <w:tcW w:w="5529" w:type="dxa"/>
            <w:shd w:val="clear" w:color="auto" w:fill="E8E8E8" w:themeFill="background2"/>
          </w:tcPr>
          <w:p w14:paraId="3B2F7267" w14:textId="6FCAB92E" w:rsidR="00C15112" w:rsidRDefault="00C15112" w:rsidP="00684441">
            <w:r>
              <w:t>Hors Europe</w:t>
            </w:r>
          </w:p>
        </w:tc>
      </w:tr>
      <w:tr w:rsidR="00C15112" w14:paraId="570007D5" w14:textId="77777777" w:rsidTr="000D5D99">
        <w:tc>
          <w:tcPr>
            <w:tcW w:w="5245" w:type="dxa"/>
          </w:tcPr>
          <w:p w14:paraId="34643F3C" w14:textId="09564F36" w:rsidR="00C15112" w:rsidRDefault="00057C5B" w:rsidP="00057C5B">
            <w:r>
              <w:t>Demander à l’étudiant de vérifier s’il peut partir</w:t>
            </w:r>
            <w:r w:rsidR="00140390">
              <w:t xml:space="preserve"> </w:t>
            </w:r>
            <w:r>
              <w:t>avec l’intégralité de son traitement pour</w:t>
            </w:r>
            <w:r w:rsidR="00140390">
              <w:t xml:space="preserve"> </w:t>
            </w:r>
            <w:r>
              <w:t>l’ensemble de la mobilité</w:t>
            </w:r>
          </w:p>
        </w:tc>
        <w:tc>
          <w:tcPr>
            <w:tcW w:w="5529" w:type="dxa"/>
          </w:tcPr>
          <w:p w14:paraId="04DABFE3" w14:textId="6C4B1D5E" w:rsidR="00C15112" w:rsidRDefault="00057C5B" w:rsidP="00057C5B">
            <w:r>
              <w:t>Demander à l’étudiant de vérifier s’il peut partir</w:t>
            </w:r>
            <w:r w:rsidR="00140390">
              <w:t xml:space="preserve"> </w:t>
            </w:r>
            <w:r>
              <w:t>avec l’intégralité de son traitement pour</w:t>
            </w:r>
            <w:r w:rsidR="00140390">
              <w:t xml:space="preserve"> </w:t>
            </w:r>
            <w:r>
              <w:t>l’ensemble de la mobilité</w:t>
            </w:r>
          </w:p>
        </w:tc>
      </w:tr>
      <w:tr w:rsidR="00C15112" w14:paraId="55D9269A" w14:textId="77777777" w:rsidTr="000D5D99">
        <w:tc>
          <w:tcPr>
            <w:tcW w:w="5245" w:type="dxa"/>
          </w:tcPr>
          <w:p w14:paraId="37396234" w14:textId="14C68805" w:rsidR="00C15112" w:rsidRDefault="00057C5B" w:rsidP="00057C5B">
            <w:r>
              <w:t>Vérifier que l’étudiant bénéficie bien d’une</w:t>
            </w:r>
            <w:r w:rsidR="00140390">
              <w:t xml:space="preserve"> </w:t>
            </w:r>
            <w:r>
              <w:t>ordonnance internationale (DCI (Dénomination</w:t>
            </w:r>
            <w:r w:rsidR="00140390">
              <w:t xml:space="preserve"> </w:t>
            </w:r>
            <w:r>
              <w:t>commune internationale)) =&gt; il la demande</w:t>
            </w:r>
            <w:r w:rsidR="00140390">
              <w:t xml:space="preserve"> </w:t>
            </w:r>
            <w:r>
              <w:t>auprès de son médecin traitant. Cette</w:t>
            </w:r>
            <w:r w:rsidR="00140390">
              <w:t xml:space="preserve"> </w:t>
            </w:r>
            <w:r>
              <w:t>ordonnance est rédigée si possible en anglais ou</w:t>
            </w:r>
            <w:r w:rsidR="00140390">
              <w:t xml:space="preserve"> </w:t>
            </w:r>
            <w:r>
              <w:t>la langue du pays d’accueil. Elle indique la</w:t>
            </w:r>
            <w:r w:rsidR="00140390">
              <w:t xml:space="preserve"> </w:t>
            </w:r>
            <w:r>
              <w:t>molécule, la posologie, la quantité de</w:t>
            </w:r>
            <w:r w:rsidR="00140390">
              <w:t xml:space="preserve"> </w:t>
            </w:r>
            <w:r>
              <w:t>médicaments (cachets…), le mode de</w:t>
            </w:r>
            <w:r w:rsidR="00140390">
              <w:t xml:space="preserve"> </w:t>
            </w:r>
            <w:r>
              <w:t>conservation (pour l’avion, si besoin de pains de</w:t>
            </w:r>
            <w:r w:rsidR="00140390">
              <w:t xml:space="preserve"> </w:t>
            </w:r>
            <w:r>
              <w:t>glace dans le bagage cabine</w:t>
            </w:r>
          </w:p>
        </w:tc>
        <w:tc>
          <w:tcPr>
            <w:tcW w:w="5529" w:type="dxa"/>
          </w:tcPr>
          <w:p w14:paraId="2F7926FB" w14:textId="1CF03C21" w:rsidR="00C15112" w:rsidRDefault="00057C5B" w:rsidP="00057C5B">
            <w:r>
              <w:t>Vérifier que l’étudiant bénéficie bien d’une</w:t>
            </w:r>
            <w:r w:rsidR="00140390">
              <w:t xml:space="preserve"> </w:t>
            </w:r>
            <w:r>
              <w:t>ordonnance internationale (DCI (Dénomination</w:t>
            </w:r>
            <w:r w:rsidR="00140390">
              <w:t xml:space="preserve"> </w:t>
            </w:r>
            <w:r>
              <w:t>commune internationale)) =&gt; il la demande</w:t>
            </w:r>
            <w:r w:rsidR="00140390">
              <w:t xml:space="preserve"> </w:t>
            </w:r>
            <w:r>
              <w:t>auprès de son médecin traitant. Cette</w:t>
            </w:r>
            <w:r w:rsidR="00140390">
              <w:t xml:space="preserve"> </w:t>
            </w:r>
            <w:r>
              <w:t>ordonnance est rédigée si possible en anglais ou</w:t>
            </w:r>
            <w:r w:rsidR="00140390">
              <w:t xml:space="preserve"> </w:t>
            </w:r>
            <w:r>
              <w:t>la langue du pays d’accueil. Elle indique la</w:t>
            </w:r>
            <w:r w:rsidR="00140390">
              <w:t xml:space="preserve"> </w:t>
            </w:r>
            <w:r>
              <w:t>molécule, la posologie, la quantité de</w:t>
            </w:r>
            <w:r w:rsidR="00140390">
              <w:t xml:space="preserve"> </w:t>
            </w:r>
            <w:r>
              <w:t>médicaments (cachets…), le mode de</w:t>
            </w:r>
            <w:r w:rsidR="00140390">
              <w:t xml:space="preserve"> </w:t>
            </w:r>
            <w:r>
              <w:t>conservation (pour l’avion, si besoin de pains de</w:t>
            </w:r>
            <w:r w:rsidR="00140390">
              <w:t xml:space="preserve"> </w:t>
            </w:r>
            <w:r>
              <w:t>glace dans le bagage cabine.</w:t>
            </w:r>
          </w:p>
        </w:tc>
      </w:tr>
      <w:tr w:rsidR="00C15112" w14:paraId="32431265" w14:textId="77777777" w:rsidTr="000D5D99">
        <w:tc>
          <w:tcPr>
            <w:tcW w:w="5245" w:type="dxa"/>
          </w:tcPr>
          <w:p w14:paraId="06AABD5D" w14:textId="39D70A1E" w:rsidR="00C15112" w:rsidRDefault="00B41CD3" w:rsidP="00B41CD3">
            <w:r>
              <w:t>Vérifier que le traitement (molécule) est bien</w:t>
            </w:r>
            <w:r w:rsidR="00140390">
              <w:t xml:space="preserve"> </w:t>
            </w:r>
            <w:r>
              <w:t>autorisé dans le pays d’accueil, ou qu’il est bien</w:t>
            </w:r>
            <w:r w:rsidR="00140390">
              <w:t xml:space="preserve"> </w:t>
            </w:r>
            <w:r>
              <w:t>disponible s’il est nécessaire de s’en procurer</w:t>
            </w:r>
            <w:r w:rsidR="00140390">
              <w:t xml:space="preserve"> </w:t>
            </w:r>
            <w:r>
              <w:t>sur place =&gt; auprès des médecins conseillés par</w:t>
            </w:r>
            <w:r w:rsidR="00140390">
              <w:t xml:space="preserve"> </w:t>
            </w:r>
            <w:r>
              <w:t>l’ambassade (liste en ligne, sur le site de</w:t>
            </w:r>
            <w:r w:rsidR="00140390">
              <w:t xml:space="preserve"> </w:t>
            </w:r>
            <w:r>
              <w:t>l’ambassade)</w:t>
            </w:r>
          </w:p>
        </w:tc>
        <w:tc>
          <w:tcPr>
            <w:tcW w:w="5529" w:type="dxa"/>
          </w:tcPr>
          <w:p w14:paraId="5F2F3CF9" w14:textId="6925D424" w:rsidR="00C15112" w:rsidRDefault="00B41CD3" w:rsidP="00B41CD3">
            <w:r>
              <w:t>Vérifier que le traitement (molécule) est bien</w:t>
            </w:r>
            <w:r w:rsidR="00140390">
              <w:t xml:space="preserve"> </w:t>
            </w:r>
            <w:r>
              <w:t>autorisé dans le pays d’accueil, ou qu’il est bien</w:t>
            </w:r>
            <w:r w:rsidR="00140390">
              <w:t xml:space="preserve"> </w:t>
            </w:r>
            <w:r>
              <w:t>disponible s’il est nécessaire de s’en procurer</w:t>
            </w:r>
            <w:r w:rsidR="00140390">
              <w:t xml:space="preserve"> </w:t>
            </w:r>
            <w:r>
              <w:t>sur place =&gt; auprès des médecins conseillés par</w:t>
            </w:r>
            <w:r w:rsidR="00140390">
              <w:t xml:space="preserve"> </w:t>
            </w:r>
            <w:r>
              <w:t>l’ambassade (liste en ligne, sur le site de</w:t>
            </w:r>
            <w:r w:rsidR="00140390">
              <w:t xml:space="preserve"> </w:t>
            </w:r>
            <w:r>
              <w:t>l’ambassade)</w:t>
            </w:r>
          </w:p>
        </w:tc>
      </w:tr>
      <w:tr w:rsidR="00C15112" w14:paraId="0754E720" w14:textId="77777777" w:rsidTr="000D5D99">
        <w:tc>
          <w:tcPr>
            <w:tcW w:w="5245" w:type="dxa"/>
          </w:tcPr>
          <w:p w14:paraId="7125905F" w14:textId="7E9D2E1E" w:rsidR="00B41CD3" w:rsidRDefault="00B41CD3" w:rsidP="00B41CD3">
            <w:r>
              <w:t>Si l’étudiant ne peut pas partir avec l’intégralité</w:t>
            </w:r>
            <w:r w:rsidR="00140390">
              <w:t xml:space="preserve"> </w:t>
            </w:r>
            <w:r>
              <w:t>de son traitement, il faudra qu’il en récupère</w:t>
            </w:r>
            <w:r w:rsidR="00140390">
              <w:t xml:space="preserve"> </w:t>
            </w:r>
            <w:r>
              <w:t>sur place</w:t>
            </w:r>
          </w:p>
          <w:p w14:paraId="492085E5" w14:textId="77777777" w:rsidR="00B41CD3" w:rsidRDefault="00B41CD3" w:rsidP="00B41CD3">
            <w:r>
              <w:t> Soit directement avec son ordonnance</w:t>
            </w:r>
          </w:p>
          <w:p w14:paraId="7FBD85EB" w14:textId="77777777" w:rsidR="00B41CD3" w:rsidRDefault="00B41CD3" w:rsidP="00B41CD3">
            <w:r>
              <w:t>DCI, auprès de pharmacies</w:t>
            </w:r>
          </w:p>
          <w:p w14:paraId="522582C9" w14:textId="5AD6746A" w:rsidR="00C15112" w:rsidRDefault="00B41CD3" w:rsidP="00B41CD3">
            <w:r>
              <w:t>Soit en passant par un rdv médical sur</w:t>
            </w:r>
            <w:r w:rsidR="00140390">
              <w:t xml:space="preserve"> </w:t>
            </w:r>
            <w:r>
              <w:t>place</w:t>
            </w:r>
          </w:p>
        </w:tc>
        <w:tc>
          <w:tcPr>
            <w:tcW w:w="5529" w:type="dxa"/>
          </w:tcPr>
          <w:p w14:paraId="22853DF9" w14:textId="38A89A37" w:rsidR="00A60EB0" w:rsidRDefault="00A60EB0" w:rsidP="00A60EB0">
            <w:r>
              <w:t>Si l’étudiant ne peut pas partir avec l’intégralité</w:t>
            </w:r>
            <w:r w:rsidR="00140390">
              <w:t xml:space="preserve"> </w:t>
            </w:r>
            <w:r>
              <w:t>de son traitement, il faudra qu’il en récupère</w:t>
            </w:r>
            <w:r w:rsidR="00140390">
              <w:t xml:space="preserve"> </w:t>
            </w:r>
            <w:r>
              <w:t>sur place</w:t>
            </w:r>
          </w:p>
          <w:p w14:paraId="6CA73D7D" w14:textId="77777777" w:rsidR="00A60EB0" w:rsidRDefault="00A60EB0" w:rsidP="00A60EB0">
            <w:r>
              <w:t> Soit directement avec son ordonnance</w:t>
            </w:r>
          </w:p>
          <w:p w14:paraId="66EEE1EA" w14:textId="77777777" w:rsidR="00A60EB0" w:rsidRDefault="00A60EB0" w:rsidP="00A60EB0">
            <w:r>
              <w:t>DCI, auprès de pharmacies</w:t>
            </w:r>
          </w:p>
          <w:p w14:paraId="0417278C" w14:textId="46952F8C" w:rsidR="00C15112" w:rsidRDefault="00A60EB0" w:rsidP="00A60EB0">
            <w:r>
              <w:t>Soit en passant par un rdv médical sur</w:t>
            </w:r>
            <w:r w:rsidR="00140390">
              <w:t xml:space="preserve"> </w:t>
            </w:r>
            <w:r>
              <w:t>place</w:t>
            </w:r>
          </w:p>
        </w:tc>
      </w:tr>
      <w:tr w:rsidR="00C15112" w14:paraId="4D5C4F97" w14:textId="77777777" w:rsidTr="000D5D99">
        <w:tc>
          <w:tcPr>
            <w:tcW w:w="5245" w:type="dxa"/>
          </w:tcPr>
          <w:p w14:paraId="66BBCA96" w14:textId="77777777" w:rsidR="00C15112" w:rsidRDefault="00A60EB0" w:rsidP="00A60EB0">
            <w:r>
              <w:t>Si le traitement n’est pas récupérable sur place,</w:t>
            </w:r>
            <w:r w:rsidR="00140390">
              <w:t xml:space="preserve"> </w:t>
            </w:r>
            <w:r>
              <w:t>il faudra qu’il puisse le récupérer en France.</w:t>
            </w:r>
            <w:r w:rsidR="00140390">
              <w:t xml:space="preserve"> </w:t>
            </w:r>
            <w:r>
              <w:t>Attention le traitement ne peut faire d’envoi</w:t>
            </w:r>
            <w:r w:rsidR="00140390">
              <w:t xml:space="preserve"> </w:t>
            </w:r>
            <w:r>
              <w:t>postal : le traitement pourrait être bloqué aux</w:t>
            </w:r>
            <w:r w:rsidR="00140390">
              <w:t xml:space="preserve"> </w:t>
            </w:r>
            <w:r>
              <w:lastRenderedPageBreak/>
              <w:t>douanes, car l’adresse de facturation des</w:t>
            </w:r>
            <w:r w:rsidR="00140390">
              <w:t xml:space="preserve"> </w:t>
            </w:r>
            <w:r>
              <w:t>traitements (facturé à la Sécu en France), n’est</w:t>
            </w:r>
            <w:r w:rsidR="00140390">
              <w:t xml:space="preserve"> </w:t>
            </w:r>
            <w:r>
              <w:t>pas la même que celle de destination</w:t>
            </w:r>
          </w:p>
          <w:p w14:paraId="6E0F7357" w14:textId="77777777" w:rsidR="00E95CD2" w:rsidRDefault="00E95CD2" w:rsidP="00A60EB0"/>
          <w:p w14:paraId="5F33721E" w14:textId="266DC988" w:rsidR="009E3A8F" w:rsidRDefault="00E95CD2" w:rsidP="00A60EB0">
            <w:r>
              <w:t>L</w:t>
            </w:r>
            <w:r w:rsidRPr="00E95CD2">
              <w:t xml:space="preserve">es médicaments très encadrés dans leur délivrance tels que les psychotropes, peuvent être délivrés pour un semestre dans le cadre d’une mobilité de plusieurs mois. Infos sur le lien Ameli : </w:t>
            </w:r>
            <w:hyperlink r:id="rId9" w:history="1">
              <w:r w:rsidRPr="00E95CD2">
                <w:rPr>
                  <w:rStyle w:val="Lienhypertexte"/>
                </w:rPr>
                <w:t>https://www.ameli.fr/oise/pharmacien/exercice-professionnel/delivrance-produits-sante/regles-delivrance-prise-charge/delivrances-exceptionnelles/dispensation-traitement-1-mois</w:t>
              </w:r>
            </w:hyperlink>
            <w:r w:rsidRPr="00E95CD2">
              <w:t> . Il est toujours nécessaire de vérifier l’autorisation de ce médicament dans le pays d’accueil (molécule, quantité, …)</w:t>
            </w:r>
          </w:p>
        </w:tc>
        <w:tc>
          <w:tcPr>
            <w:tcW w:w="5529" w:type="dxa"/>
          </w:tcPr>
          <w:p w14:paraId="53ADCB47" w14:textId="5C16002E" w:rsidR="00C15112" w:rsidRDefault="00A60EB0" w:rsidP="00A60EB0">
            <w:r>
              <w:lastRenderedPageBreak/>
              <w:t>Si le traitement n’est pas récupérable sur place,</w:t>
            </w:r>
            <w:r w:rsidR="00140390">
              <w:t xml:space="preserve"> </w:t>
            </w:r>
            <w:r>
              <w:t>il faudra qu’il puisse le récupérer en France.</w:t>
            </w:r>
            <w:r w:rsidR="00140390">
              <w:t xml:space="preserve"> </w:t>
            </w:r>
            <w:r>
              <w:t>Attention le traitement ne peut faire d’envoi</w:t>
            </w:r>
            <w:r w:rsidR="00140390">
              <w:t xml:space="preserve"> </w:t>
            </w:r>
            <w:r>
              <w:t>postal : le traitement pourrait être bloqué aux</w:t>
            </w:r>
            <w:r w:rsidR="00140390">
              <w:t xml:space="preserve"> </w:t>
            </w:r>
            <w:r>
              <w:t xml:space="preserve">douanes, car </w:t>
            </w:r>
            <w:r>
              <w:lastRenderedPageBreak/>
              <w:t>l’adresse de facturation des</w:t>
            </w:r>
            <w:r w:rsidR="00140390">
              <w:t xml:space="preserve"> </w:t>
            </w:r>
            <w:r>
              <w:t>traitements (facturé à la Sécu en France), n’est</w:t>
            </w:r>
            <w:r w:rsidR="00140390">
              <w:t xml:space="preserve"> </w:t>
            </w:r>
            <w:r>
              <w:t>pas la même que celle de destination</w:t>
            </w:r>
          </w:p>
        </w:tc>
      </w:tr>
      <w:tr w:rsidR="00C15112" w14:paraId="3C4A3E11" w14:textId="77777777" w:rsidTr="000D5D99">
        <w:tc>
          <w:tcPr>
            <w:tcW w:w="5245" w:type="dxa"/>
          </w:tcPr>
          <w:p w14:paraId="696623CD" w14:textId="5647C9CF" w:rsidR="00C15112" w:rsidRDefault="00A60EB0" w:rsidP="00A60EB0">
            <w:r>
              <w:lastRenderedPageBreak/>
              <w:t>Attention, les traitements sans dénomination</w:t>
            </w:r>
            <w:r w:rsidR="00140390">
              <w:t xml:space="preserve"> </w:t>
            </w:r>
            <w:r>
              <w:t>internationale ne passent pas les douanes</w:t>
            </w:r>
          </w:p>
        </w:tc>
        <w:tc>
          <w:tcPr>
            <w:tcW w:w="5529" w:type="dxa"/>
          </w:tcPr>
          <w:p w14:paraId="0E786869" w14:textId="1ECEBAB4" w:rsidR="00C15112" w:rsidRDefault="00B70CAF" w:rsidP="00B70CAF">
            <w:r>
              <w:t>Attention, les traitements sans dénomination</w:t>
            </w:r>
            <w:r w:rsidR="00140390">
              <w:t xml:space="preserve"> </w:t>
            </w:r>
            <w:r>
              <w:t>internationale ne passent pas les douanes</w:t>
            </w:r>
          </w:p>
        </w:tc>
      </w:tr>
      <w:tr w:rsidR="00C15112" w14:paraId="66C47B24" w14:textId="77777777" w:rsidTr="000D5D99">
        <w:tc>
          <w:tcPr>
            <w:tcW w:w="5245" w:type="dxa"/>
          </w:tcPr>
          <w:p w14:paraId="073BD551" w14:textId="28FC6C0D" w:rsidR="00C15112" w:rsidRDefault="00B70CAF" w:rsidP="00B70CAF">
            <w:r>
              <w:t xml:space="preserve">Pour récupérer des traitements ou avoir </w:t>
            </w:r>
            <w:r w:rsidR="00B1403F">
              <w:t>des rdvs médicaux</w:t>
            </w:r>
            <w:r>
              <w:t xml:space="preserve"> réguliers, l’étudiant pourra utiliser la</w:t>
            </w:r>
            <w:r w:rsidR="00140390">
              <w:t xml:space="preserve"> </w:t>
            </w:r>
            <w:r>
              <w:t>carte européenne d’assurance maladie.</w:t>
            </w:r>
            <w:r w:rsidR="00140390">
              <w:t xml:space="preserve"> </w:t>
            </w:r>
            <w:r>
              <w:t>Attention, cette carte permet un</w:t>
            </w:r>
            <w:r w:rsidR="00140390">
              <w:t xml:space="preserve"> </w:t>
            </w:r>
            <w:r>
              <w:t>remboursement au taux du pays d’accueil, et</w:t>
            </w:r>
            <w:r w:rsidR="00140390">
              <w:t xml:space="preserve"> </w:t>
            </w:r>
            <w:r>
              <w:t>non du taux français : si le taux du pays</w:t>
            </w:r>
            <w:r w:rsidR="00140390">
              <w:t xml:space="preserve"> </w:t>
            </w:r>
            <w:r>
              <w:t>d’accueil est « moins avantageux » il vaut mieux</w:t>
            </w:r>
            <w:r w:rsidR="00B1403F">
              <w:t xml:space="preserve"> </w:t>
            </w:r>
            <w:r>
              <w:t>payer les factures et se les faire rembourser par</w:t>
            </w:r>
            <w:r w:rsidR="00B1403F">
              <w:t xml:space="preserve"> </w:t>
            </w:r>
            <w:r>
              <w:t>sa Sécu en France.</w:t>
            </w:r>
          </w:p>
        </w:tc>
        <w:tc>
          <w:tcPr>
            <w:tcW w:w="5529" w:type="dxa"/>
          </w:tcPr>
          <w:p w14:paraId="54FC6737" w14:textId="790B1B0E" w:rsidR="00B70CAF" w:rsidRDefault="00B70CAF" w:rsidP="00B70CAF">
            <w:r>
              <w:t>Les assurances ne prennent en charge que les</w:t>
            </w:r>
            <w:r w:rsidR="00B1403F">
              <w:t xml:space="preserve"> </w:t>
            </w:r>
            <w:r>
              <w:t>risques (déclaration de maladie ou dégradation</w:t>
            </w:r>
            <w:r w:rsidR="00B1403F">
              <w:t xml:space="preserve"> </w:t>
            </w:r>
            <w:r>
              <w:t>de la situation). Si la maladie est déjà déclarée</w:t>
            </w:r>
            <w:r w:rsidR="00B1403F">
              <w:t xml:space="preserve"> </w:t>
            </w:r>
            <w:r>
              <w:t>et qu’elle nécessite de récupérer un traitement</w:t>
            </w:r>
            <w:r w:rsidR="00B1403F">
              <w:t xml:space="preserve"> </w:t>
            </w:r>
            <w:r>
              <w:t>sur place, ou un suivi médical/paramédical sur</w:t>
            </w:r>
            <w:r w:rsidR="00B1403F">
              <w:t xml:space="preserve"> </w:t>
            </w:r>
            <w:r>
              <w:t>place, ceux-ci risquent de ne pas être</w:t>
            </w:r>
            <w:r w:rsidR="00B1403F">
              <w:t xml:space="preserve"> </w:t>
            </w:r>
            <w:r>
              <w:t>remboursées par l’assurance privée contractée.</w:t>
            </w:r>
          </w:p>
          <w:p w14:paraId="7EF03E87" w14:textId="24FAD811" w:rsidR="00B70CAF" w:rsidRDefault="00B70CAF" w:rsidP="00B70CAF">
            <w:r>
              <w:t>Bien vérifier en amont lors du choix de</w:t>
            </w:r>
            <w:r w:rsidR="00B54AB2">
              <w:t xml:space="preserve"> </w:t>
            </w:r>
            <w:r>
              <w:t>l’assurance.</w:t>
            </w:r>
          </w:p>
          <w:p w14:paraId="619BAD2A" w14:textId="1635EAAE" w:rsidR="00B70CAF" w:rsidRDefault="00B70CAF" w:rsidP="00B70CAF">
            <w:r>
              <w:t xml:space="preserve">La Caisse des </w:t>
            </w:r>
            <w:r w:rsidR="00B54AB2">
              <w:t>Français</w:t>
            </w:r>
            <w:r>
              <w:t xml:space="preserve"> de l’étranger</w:t>
            </w:r>
          </w:p>
          <w:p w14:paraId="1D732E50" w14:textId="786EBF52" w:rsidR="00C15112" w:rsidRDefault="00B70CAF" w:rsidP="00B70CAF">
            <w:r>
              <w:t>(CFE) permet une continuité des droits</w:t>
            </w:r>
            <w:r w:rsidR="00B1403F">
              <w:t xml:space="preserve"> </w:t>
            </w:r>
            <w:r>
              <w:t>français lorsque l’on part en</w:t>
            </w:r>
            <w:r w:rsidR="00B1403F">
              <w:t xml:space="preserve"> </w:t>
            </w:r>
            <w:r>
              <w:t>expatriation. Mais attention, elle</w:t>
            </w:r>
            <w:r w:rsidR="00B1403F">
              <w:t xml:space="preserve"> </w:t>
            </w:r>
            <w:r>
              <w:t>rembourse en montant équivalent et</w:t>
            </w:r>
            <w:r w:rsidR="00B1403F">
              <w:t xml:space="preserve"> </w:t>
            </w:r>
            <w:r>
              <w:t>non en taux. Par exemple, en France un</w:t>
            </w:r>
            <w:r w:rsidR="00B1403F">
              <w:t xml:space="preserve"> </w:t>
            </w:r>
            <w:r>
              <w:t>rdv de médecin généraliste (25€) est</w:t>
            </w:r>
            <w:r w:rsidR="00B1403F">
              <w:t xml:space="preserve"> </w:t>
            </w:r>
            <w:r>
              <w:t>remboursé environ 17€ par la sécu. Ce</w:t>
            </w:r>
            <w:r w:rsidR="00B1403F">
              <w:t xml:space="preserve"> </w:t>
            </w:r>
            <w:r>
              <w:t>sera le même montant pour un rdv aux</w:t>
            </w:r>
            <w:r w:rsidR="00B1403F">
              <w:t xml:space="preserve"> </w:t>
            </w:r>
            <w:r>
              <w:t>USA qui peut coûter à la base 3 fois plus</w:t>
            </w:r>
            <w:r w:rsidR="00B1403F">
              <w:t xml:space="preserve"> </w:t>
            </w:r>
            <w:r>
              <w:t>cher (par exemple). S’assurer des</w:t>
            </w:r>
            <w:r w:rsidR="00B1403F">
              <w:t xml:space="preserve"> </w:t>
            </w:r>
            <w:r>
              <w:t>montants des consultations avant de</w:t>
            </w:r>
            <w:r w:rsidR="00B1403F">
              <w:t xml:space="preserve"> </w:t>
            </w:r>
            <w:r>
              <w:t>partir. Plus d’infos dans le rapport</w:t>
            </w:r>
            <w:r w:rsidR="00B1403F">
              <w:t xml:space="preserve"> </w:t>
            </w:r>
            <w:r>
              <w:t>(détails précis selon régions du monde)</w:t>
            </w:r>
          </w:p>
        </w:tc>
      </w:tr>
      <w:tr w:rsidR="00C15112" w14:paraId="31085D8C" w14:textId="77777777" w:rsidTr="000D5D99">
        <w:tc>
          <w:tcPr>
            <w:tcW w:w="5245" w:type="dxa"/>
          </w:tcPr>
          <w:p w14:paraId="0770FCCD" w14:textId="1DB4FD06" w:rsidR="00C15112" w:rsidRDefault="001362FC" w:rsidP="001362FC">
            <w:r>
              <w:t>Suivi paramédical, vérifier auprès de sa sécu le</w:t>
            </w:r>
            <w:r w:rsidR="00B1403F">
              <w:t xml:space="preserve"> </w:t>
            </w:r>
            <w:r>
              <w:t>type de praticiens dont les séances seront</w:t>
            </w:r>
            <w:r w:rsidR="00B1403F">
              <w:t xml:space="preserve"> </w:t>
            </w:r>
            <w:r>
              <w:t>remboursées (attention à la nomenclature) (ex</w:t>
            </w:r>
            <w:r w:rsidR="00B1403F">
              <w:t xml:space="preserve"> </w:t>
            </w:r>
            <w:r>
              <w:t>kinésithérapeute/physiothérapeute)</w:t>
            </w:r>
          </w:p>
        </w:tc>
        <w:tc>
          <w:tcPr>
            <w:tcW w:w="5529" w:type="dxa"/>
          </w:tcPr>
          <w:p w14:paraId="2A8DBFDB" w14:textId="03A8D6AB" w:rsidR="001362FC" w:rsidRDefault="001362FC" w:rsidP="001362FC">
            <w:r>
              <w:t>Si le traitement n’est pas trouvable dans le pays</w:t>
            </w:r>
            <w:r w:rsidR="00B1403F">
              <w:t xml:space="preserve"> </w:t>
            </w:r>
            <w:r>
              <w:t>d’accueil, il faudra que l’étudiant fasse des</w:t>
            </w:r>
            <w:r w:rsidR="00B1403F">
              <w:t xml:space="preserve"> </w:t>
            </w:r>
            <w:r>
              <w:t>allers-retours vers la France pour récupérer son</w:t>
            </w:r>
            <w:r w:rsidR="00B1403F">
              <w:t xml:space="preserve"> </w:t>
            </w:r>
            <w:r>
              <w:t>traitement.</w:t>
            </w:r>
          </w:p>
          <w:p w14:paraId="1B05F885" w14:textId="5723D56F" w:rsidR="001362FC" w:rsidRDefault="001362FC" w:rsidP="001362FC">
            <w:r>
              <w:t>Remboursement possible par bourse</w:t>
            </w:r>
          </w:p>
          <w:p w14:paraId="62B3D206" w14:textId="77777777" w:rsidR="00B1403F" w:rsidRDefault="001362FC" w:rsidP="001362FC">
            <w:proofErr w:type="spellStart"/>
            <w:r>
              <w:t>Siesh</w:t>
            </w:r>
            <w:proofErr w:type="spellEnd"/>
            <w:r>
              <w:t xml:space="preserve"> </w:t>
            </w:r>
            <w:proofErr w:type="spellStart"/>
            <w:r>
              <w:t>Cge</w:t>
            </w:r>
            <w:proofErr w:type="spellEnd"/>
          </w:p>
          <w:p w14:paraId="149EF421" w14:textId="701775C7" w:rsidR="00C15112" w:rsidRDefault="001362FC" w:rsidP="001362FC">
            <w:r>
              <w:t>Attention, dans le cadre d’une mobilité</w:t>
            </w:r>
            <w:r w:rsidR="00B1403F">
              <w:t xml:space="preserve"> </w:t>
            </w:r>
            <w:r>
              <w:t>dépassant plus de 6 mois, les droits</w:t>
            </w:r>
            <w:r w:rsidR="00B1403F">
              <w:t xml:space="preserve"> </w:t>
            </w:r>
            <w:r>
              <w:t>français (Sécu) sont fermés</w:t>
            </w:r>
            <w:r w:rsidR="00B111B0">
              <w:t xml:space="preserve"> </w:t>
            </w:r>
            <w:r>
              <w:t>temporairement (avant de revenir</w:t>
            </w:r>
            <w:r w:rsidR="00B111B0">
              <w:t xml:space="preserve"> </w:t>
            </w:r>
            <w:r>
              <w:t xml:space="preserve">récupérer </w:t>
            </w:r>
            <w:r>
              <w:lastRenderedPageBreak/>
              <w:t>les traitements il faut rouvrir</w:t>
            </w:r>
            <w:r w:rsidR="00B111B0">
              <w:t xml:space="preserve"> </w:t>
            </w:r>
            <w:r>
              <w:t>les droits auprès de la Sécu, et ça peut</w:t>
            </w:r>
            <w:r w:rsidR="00B111B0">
              <w:t xml:space="preserve"> </w:t>
            </w:r>
            <w:r>
              <w:t>prendre plusieurs semaines)</w:t>
            </w:r>
          </w:p>
        </w:tc>
      </w:tr>
      <w:tr w:rsidR="00C15112" w14:paraId="48EB6719" w14:textId="77777777" w:rsidTr="000D5D99">
        <w:tc>
          <w:tcPr>
            <w:tcW w:w="5245" w:type="dxa"/>
          </w:tcPr>
          <w:p w14:paraId="59B49944" w14:textId="278AC11A" w:rsidR="00C15112" w:rsidRDefault="001362FC" w:rsidP="001362FC">
            <w:r>
              <w:lastRenderedPageBreak/>
              <w:t>Pour trouver cabinet de soins infirmiers</w:t>
            </w:r>
            <w:r w:rsidR="00B111B0">
              <w:t xml:space="preserve"> </w:t>
            </w:r>
            <w:r>
              <w:t>ou</w:t>
            </w:r>
            <w:r w:rsidR="00B111B0">
              <w:t xml:space="preserve"> </w:t>
            </w:r>
            <w:r>
              <w:t>paramédical, ne pas hésiter à passer par</w:t>
            </w:r>
            <w:r w:rsidR="00B111B0">
              <w:t xml:space="preserve"> </w:t>
            </w:r>
            <w:r>
              <w:t>l’ambassade (référent handicap (Berlin,</w:t>
            </w:r>
            <w:r w:rsidR="00B111B0">
              <w:t xml:space="preserve"> </w:t>
            </w:r>
            <w:r>
              <w:t>Lisbonne...)), ou les réseaux des</w:t>
            </w:r>
            <w:r w:rsidR="00B111B0">
              <w:t xml:space="preserve"> </w:t>
            </w:r>
            <w:r w:rsidR="00B54AB2">
              <w:t>Français</w:t>
            </w:r>
            <w:r>
              <w:t xml:space="preserve"> des</w:t>
            </w:r>
            <w:r w:rsidR="00B111B0">
              <w:t xml:space="preserve"> </w:t>
            </w:r>
            <w:r>
              <w:t>pays d’accueil (</w:t>
            </w:r>
            <w:proofErr w:type="spellStart"/>
            <w:r>
              <w:t>facebook</w:t>
            </w:r>
            <w:proofErr w:type="spellEnd"/>
            <w:r>
              <w:t>, assos indiquées sur</w:t>
            </w:r>
            <w:r w:rsidR="00B111B0">
              <w:t xml:space="preserve"> </w:t>
            </w:r>
            <w:r>
              <w:t>site de l’ambassade)</w:t>
            </w:r>
          </w:p>
        </w:tc>
        <w:tc>
          <w:tcPr>
            <w:tcW w:w="5529" w:type="dxa"/>
          </w:tcPr>
          <w:p w14:paraId="05981502" w14:textId="534E3BBD" w:rsidR="00D362D4" w:rsidRDefault="001362FC" w:rsidP="00D362D4">
            <w:r>
              <w:t>Pour trouver cabinet de soins infirmiers</w:t>
            </w:r>
            <w:r w:rsidR="00B111B0">
              <w:t xml:space="preserve"> </w:t>
            </w:r>
            <w:r>
              <w:t>ou</w:t>
            </w:r>
            <w:r w:rsidR="00B111B0">
              <w:t xml:space="preserve"> </w:t>
            </w:r>
            <w:r>
              <w:t>paramédical, ne pas hésiter à passer par</w:t>
            </w:r>
            <w:r w:rsidR="00B111B0">
              <w:t xml:space="preserve"> </w:t>
            </w:r>
            <w:r>
              <w:t>l’ambassade (référent handicap (Mexique pour</w:t>
            </w:r>
            <w:r w:rsidR="00B54AB2">
              <w:t xml:space="preserve"> </w:t>
            </w:r>
            <w:r>
              <w:t>l’instant)), ou les réseaux des français des pays</w:t>
            </w:r>
            <w:r w:rsidR="00B54AB2">
              <w:t xml:space="preserve"> </w:t>
            </w:r>
            <w:r>
              <w:t>d’accueil (</w:t>
            </w:r>
            <w:proofErr w:type="spellStart"/>
            <w:r>
              <w:t>facebook</w:t>
            </w:r>
            <w:proofErr w:type="spellEnd"/>
            <w:r>
              <w:t>, assos indiquées sur site de</w:t>
            </w:r>
            <w:r w:rsidR="00B54AB2">
              <w:t xml:space="preserve"> </w:t>
            </w:r>
            <w:r>
              <w:t>l’ambassade)</w:t>
            </w:r>
            <w:r w:rsidR="00B54AB2">
              <w:t xml:space="preserve">. </w:t>
            </w:r>
            <w:r w:rsidR="00D362D4">
              <w:t>Les bourses SIESH de la CGE permettent de</w:t>
            </w:r>
            <w:r w:rsidR="00B54AB2">
              <w:t xml:space="preserve"> </w:t>
            </w:r>
            <w:r w:rsidR="00D362D4">
              <w:t>financer les surcoûts : (exemples)</w:t>
            </w:r>
          </w:p>
          <w:p w14:paraId="3124D72E" w14:textId="0F59B195" w:rsidR="00D362D4" w:rsidRDefault="00D362D4" w:rsidP="00D362D4">
            <w:r>
              <w:t>De l’assurance, si elle est plus chère</w:t>
            </w:r>
            <w:r w:rsidR="00B54AB2">
              <w:t xml:space="preserve"> </w:t>
            </w:r>
            <w:r>
              <w:t>pour rembourser des soins déjà prévus</w:t>
            </w:r>
          </w:p>
          <w:p w14:paraId="0068A0BF" w14:textId="120C4496" w:rsidR="00D362D4" w:rsidRDefault="00B54AB2" w:rsidP="00D362D4">
            <w:r>
              <w:t>Des rdvs médicaux</w:t>
            </w:r>
            <w:r w:rsidR="00D362D4">
              <w:t xml:space="preserve"> et des traitements si</w:t>
            </w:r>
            <w:r>
              <w:t xml:space="preserve"> </w:t>
            </w:r>
            <w:r w:rsidR="00D362D4">
              <w:t>ceux-ci ne sont pas couverts</w:t>
            </w:r>
            <w:r>
              <w:t xml:space="preserve"> </w:t>
            </w:r>
            <w:r w:rsidR="00D362D4">
              <w:t>entièrement par l’assurance</w:t>
            </w:r>
          </w:p>
        </w:tc>
      </w:tr>
    </w:tbl>
    <w:p w14:paraId="0CB72BBB" w14:textId="77777777" w:rsidR="00C15112" w:rsidRPr="000D5D99" w:rsidRDefault="00C15112" w:rsidP="00684441">
      <w:pPr>
        <w:rPr>
          <w:b/>
          <w:bCs/>
          <w:u w:val="single"/>
        </w:rPr>
      </w:pPr>
    </w:p>
    <w:p w14:paraId="5EADACAA" w14:textId="57CEE8AF" w:rsidR="00D362D4" w:rsidRPr="000D5D99" w:rsidRDefault="00D362D4" w:rsidP="00684441">
      <w:pPr>
        <w:rPr>
          <w:b/>
          <w:bCs/>
          <w:u w:val="single"/>
        </w:rPr>
      </w:pPr>
      <w:r w:rsidRPr="000D5D99">
        <w:rPr>
          <w:b/>
          <w:bCs/>
          <w:u w:val="single"/>
        </w:rPr>
        <w:t xml:space="preserve">Les transports locaux : </w:t>
      </w:r>
    </w:p>
    <w:p w14:paraId="105E1D5D" w14:textId="77777777" w:rsidR="00D362D4" w:rsidRDefault="00D362D4" w:rsidP="00684441"/>
    <w:tbl>
      <w:tblPr>
        <w:tblStyle w:val="Grilledutableau"/>
        <w:tblW w:w="10774" w:type="dxa"/>
        <w:tblInd w:w="-714" w:type="dxa"/>
        <w:tblLook w:val="04A0" w:firstRow="1" w:lastRow="0" w:firstColumn="1" w:lastColumn="0" w:noHBand="0" w:noVBand="1"/>
      </w:tblPr>
      <w:tblGrid>
        <w:gridCol w:w="5245"/>
        <w:gridCol w:w="5529"/>
      </w:tblGrid>
      <w:tr w:rsidR="00D362D4" w14:paraId="693D2B00" w14:textId="77777777" w:rsidTr="000D5D99">
        <w:tc>
          <w:tcPr>
            <w:tcW w:w="5245" w:type="dxa"/>
            <w:shd w:val="clear" w:color="auto" w:fill="E8E8E8" w:themeFill="background2"/>
          </w:tcPr>
          <w:p w14:paraId="79930089" w14:textId="55ED2AD1" w:rsidR="00D362D4" w:rsidRDefault="00D362D4" w:rsidP="00684441">
            <w:r>
              <w:t>En Europe</w:t>
            </w:r>
          </w:p>
        </w:tc>
        <w:tc>
          <w:tcPr>
            <w:tcW w:w="5529" w:type="dxa"/>
            <w:shd w:val="clear" w:color="auto" w:fill="E8E8E8" w:themeFill="background2"/>
          </w:tcPr>
          <w:p w14:paraId="178876AB" w14:textId="298944A3" w:rsidR="00D362D4" w:rsidRDefault="00D362D4" w:rsidP="00684441">
            <w:r>
              <w:t>Hors Europe</w:t>
            </w:r>
          </w:p>
        </w:tc>
      </w:tr>
      <w:tr w:rsidR="00D362D4" w14:paraId="1DFE29BF" w14:textId="77777777" w:rsidTr="000D5D99">
        <w:tc>
          <w:tcPr>
            <w:tcW w:w="5245" w:type="dxa"/>
          </w:tcPr>
          <w:p w14:paraId="6AA797A2" w14:textId="5601C2B1" w:rsidR="00D362D4" w:rsidRDefault="004018E9" w:rsidP="004018E9">
            <w:r>
              <w:t>Vérifier les conditions d’accès à ces transports,</w:t>
            </w:r>
            <w:r w:rsidR="00B54AB2">
              <w:t xml:space="preserve"> </w:t>
            </w:r>
            <w:r>
              <w:t>vérifier auprès des associations locales (ou</w:t>
            </w:r>
            <w:r w:rsidR="00B54AB2">
              <w:t xml:space="preserve"> </w:t>
            </w:r>
            <w:r>
              <w:t>université d’accueil).</w:t>
            </w:r>
          </w:p>
        </w:tc>
        <w:tc>
          <w:tcPr>
            <w:tcW w:w="5529" w:type="dxa"/>
          </w:tcPr>
          <w:p w14:paraId="3A710CA0" w14:textId="46876AAC" w:rsidR="00D362D4" w:rsidRDefault="004018E9" w:rsidP="004018E9">
            <w:r>
              <w:t>Vérifier les conditions d’accès à ces transports,</w:t>
            </w:r>
            <w:r w:rsidR="00B54AB2">
              <w:t xml:space="preserve"> </w:t>
            </w:r>
            <w:r>
              <w:t>vérifier auprès des associations locales (ou</w:t>
            </w:r>
            <w:r w:rsidR="00B54AB2">
              <w:t xml:space="preserve"> </w:t>
            </w:r>
            <w:r>
              <w:t>université d’accueil)</w:t>
            </w:r>
          </w:p>
        </w:tc>
      </w:tr>
      <w:tr w:rsidR="00D362D4" w14:paraId="0C742299" w14:textId="77777777" w:rsidTr="000D5D99">
        <w:tc>
          <w:tcPr>
            <w:tcW w:w="5245" w:type="dxa"/>
          </w:tcPr>
          <w:p w14:paraId="3A945323" w14:textId="7CEDD106" w:rsidR="00D362D4" w:rsidRDefault="004018E9" w:rsidP="004018E9">
            <w:r>
              <w:t>Financement possible par programme Erasmus+</w:t>
            </w:r>
            <w:r w:rsidR="00B54AB2">
              <w:t xml:space="preserve"> </w:t>
            </w:r>
            <w:r>
              <w:t>(compensation)</w:t>
            </w:r>
          </w:p>
        </w:tc>
        <w:tc>
          <w:tcPr>
            <w:tcW w:w="5529" w:type="dxa"/>
          </w:tcPr>
          <w:p w14:paraId="67463BE1" w14:textId="1051DA95" w:rsidR="00D362D4" w:rsidRDefault="004018E9" w:rsidP="00684441">
            <w:r w:rsidRPr="004018E9">
              <w:t xml:space="preserve">Financement possible par bourse </w:t>
            </w:r>
            <w:proofErr w:type="spellStart"/>
            <w:r w:rsidRPr="004018E9">
              <w:t>Siesh</w:t>
            </w:r>
            <w:proofErr w:type="spellEnd"/>
            <w:r w:rsidRPr="004018E9">
              <w:t xml:space="preserve"> - </w:t>
            </w:r>
            <w:proofErr w:type="spellStart"/>
            <w:r w:rsidRPr="004018E9">
              <w:t>Cge</w:t>
            </w:r>
            <w:proofErr w:type="spellEnd"/>
          </w:p>
        </w:tc>
      </w:tr>
    </w:tbl>
    <w:p w14:paraId="6126EDCB" w14:textId="77777777" w:rsidR="00D362D4" w:rsidRDefault="00D362D4" w:rsidP="00684441"/>
    <w:p w14:paraId="68ADA1FB" w14:textId="77777777" w:rsidR="004018E9" w:rsidRPr="000D5D99" w:rsidRDefault="004018E9" w:rsidP="00684441">
      <w:pPr>
        <w:rPr>
          <w:b/>
          <w:bCs/>
          <w:u w:val="single"/>
        </w:rPr>
      </w:pPr>
      <w:r w:rsidRPr="000D5D99">
        <w:rPr>
          <w:b/>
          <w:bCs/>
          <w:u w:val="single"/>
        </w:rPr>
        <w:t xml:space="preserve">Transports internationaux : </w:t>
      </w:r>
    </w:p>
    <w:tbl>
      <w:tblPr>
        <w:tblStyle w:val="Grilledutableau"/>
        <w:tblW w:w="10774" w:type="dxa"/>
        <w:tblInd w:w="-714" w:type="dxa"/>
        <w:tblLook w:val="04A0" w:firstRow="1" w:lastRow="0" w:firstColumn="1" w:lastColumn="0" w:noHBand="0" w:noVBand="1"/>
      </w:tblPr>
      <w:tblGrid>
        <w:gridCol w:w="5245"/>
        <w:gridCol w:w="5529"/>
      </w:tblGrid>
      <w:tr w:rsidR="004018E9" w14:paraId="1BCB2A5B" w14:textId="77777777" w:rsidTr="000D5D99">
        <w:tc>
          <w:tcPr>
            <w:tcW w:w="5245" w:type="dxa"/>
            <w:shd w:val="clear" w:color="auto" w:fill="E8E8E8" w:themeFill="background2"/>
          </w:tcPr>
          <w:p w14:paraId="1B4B4A9E" w14:textId="21E97BCE" w:rsidR="004018E9" w:rsidRDefault="004018E9" w:rsidP="00684441">
            <w:r>
              <w:t>En Europe</w:t>
            </w:r>
          </w:p>
        </w:tc>
        <w:tc>
          <w:tcPr>
            <w:tcW w:w="5529" w:type="dxa"/>
            <w:shd w:val="clear" w:color="auto" w:fill="E8E8E8" w:themeFill="background2"/>
          </w:tcPr>
          <w:p w14:paraId="327A603F" w14:textId="2C2AA9CA" w:rsidR="004018E9" w:rsidRDefault="004018E9" w:rsidP="00684441">
            <w:r>
              <w:t>Hors France</w:t>
            </w:r>
          </w:p>
        </w:tc>
      </w:tr>
      <w:tr w:rsidR="004018E9" w14:paraId="7956D037" w14:textId="77777777" w:rsidTr="000D5D99">
        <w:tc>
          <w:tcPr>
            <w:tcW w:w="5245" w:type="dxa"/>
          </w:tcPr>
          <w:p w14:paraId="5C2493E3" w14:textId="68FFC64A" w:rsidR="004018E9" w:rsidRDefault="00867A5F" w:rsidP="00867A5F">
            <w:r>
              <w:t>L’accompagnement des personnes handicapées</w:t>
            </w:r>
            <w:r w:rsidR="00B54AB2">
              <w:t xml:space="preserve"> </w:t>
            </w:r>
            <w:r>
              <w:t>dans les aéroports et les vols est assuré (même</w:t>
            </w:r>
            <w:r w:rsidR="00B54AB2">
              <w:t xml:space="preserve"> </w:t>
            </w:r>
            <w:r>
              <w:t>règlement européen d’accessibilité)</w:t>
            </w:r>
          </w:p>
        </w:tc>
        <w:tc>
          <w:tcPr>
            <w:tcW w:w="5529" w:type="dxa"/>
          </w:tcPr>
          <w:p w14:paraId="024A5977" w14:textId="7BE31056" w:rsidR="004018E9" w:rsidRDefault="00867A5F" w:rsidP="00867A5F">
            <w:r>
              <w:t>Le règlement européen d’accompagnement des</w:t>
            </w:r>
            <w:r w:rsidR="00B54AB2">
              <w:t xml:space="preserve"> </w:t>
            </w:r>
            <w:r>
              <w:t>personnes en situation de handicap est</w:t>
            </w:r>
            <w:r w:rsidR="00B54AB2">
              <w:t xml:space="preserve"> </w:t>
            </w:r>
            <w:r>
              <w:t>appliqué dans l’aéroport situé en Europe,</w:t>
            </w:r>
            <w:r w:rsidR="00B54AB2">
              <w:t xml:space="preserve"> </w:t>
            </w:r>
            <w:r>
              <w:t>pendant le vol, mais pas à l’arrivée ou à l’escale</w:t>
            </w:r>
            <w:r w:rsidR="00B54AB2">
              <w:t xml:space="preserve"> </w:t>
            </w:r>
            <w:r>
              <w:t>si l’aéroport se situe en dehors de l’espace</w:t>
            </w:r>
            <w:r w:rsidR="00B54AB2">
              <w:t xml:space="preserve"> </w:t>
            </w:r>
            <w:r>
              <w:t>européen. Vérifier auprès de l’agence</w:t>
            </w:r>
            <w:r w:rsidR="00B54AB2">
              <w:t xml:space="preserve"> </w:t>
            </w:r>
            <w:r>
              <w:t>commerciale vendant le billet que l’aéroport</w:t>
            </w:r>
            <w:r w:rsidR="00B54AB2">
              <w:t xml:space="preserve"> </w:t>
            </w:r>
            <w:r>
              <w:t>d’escale, l’aéroport d’arrivée et la compagnie</w:t>
            </w:r>
            <w:r w:rsidR="00B54AB2">
              <w:t xml:space="preserve"> </w:t>
            </w:r>
            <w:r>
              <w:t>effectuant le vol hors UE sont prévenus des</w:t>
            </w:r>
            <w:r w:rsidR="00B54AB2">
              <w:t xml:space="preserve"> </w:t>
            </w:r>
            <w:r>
              <w:t>besoins d’accompagnement spécifique de</w:t>
            </w:r>
            <w:r w:rsidR="00B54AB2">
              <w:t xml:space="preserve"> </w:t>
            </w:r>
            <w:r>
              <w:t>l’étudiant, pour éviter tout risque de rupture</w:t>
            </w:r>
            <w:r w:rsidR="00B54AB2">
              <w:t xml:space="preserve"> </w:t>
            </w:r>
            <w:r>
              <w:t>dans le trajet.</w:t>
            </w:r>
          </w:p>
        </w:tc>
      </w:tr>
      <w:tr w:rsidR="004018E9" w14:paraId="7C10EBCD" w14:textId="77777777" w:rsidTr="000D5D99">
        <w:tc>
          <w:tcPr>
            <w:tcW w:w="5245" w:type="dxa"/>
          </w:tcPr>
          <w:p w14:paraId="5E2A8137" w14:textId="56591602" w:rsidR="00867A5F" w:rsidRDefault="00867A5F" w:rsidP="00867A5F">
            <w:r>
              <w:t>Transport des médicaments : privilégier les</w:t>
            </w:r>
            <w:r w:rsidR="00B54AB2">
              <w:t xml:space="preserve"> </w:t>
            </w:r>
            <w:r>
              <w:t>bagages cabines (pour éviter risque de perte de</w:t>
            </w:r>
            <w:r w:rsidR="00B54AB2">
              <w:t xml:space="preserve"> </w:t>
            </w:r>
            <w:r>
              <w:t xml:space="preserve">bagage en </w:t>
            </w:r>
            <w:proofErr w:type="spellStart"/>
            <w:r>
              <w:t>soute</w:t>
            </w:r>
            <w:proofErr w:type="spellEnd"/>
            <w:r>
              <w:t>). Si besoin de conserver les</w:t>
            </w:r>
            <w:r w:rsidR="00B54AB2">
              <w:t xml:space="preserve"> </w:t>
            </w:r>
            <w:r>
              <w:t>traitements au frais :</w:t>
            </w:r>
          </w:p>
          <w:p w14:paraId="6CEEDC72" w14:textId="77777777" w:rsidR="00B54AB2" w:rsidRDefault="00867A5F" w:rsidP="00867A5F">
            <w:r>
              <w:lastRenderedPageBreak/>
              <w:t>Prévenir la compagnie que l’étudiant</w:t>
            </w:r>
            <w:r w:rsidR="00B54AB2">
              <w:t xml:space="preserve"> </w:t>
            </w:r>
            <w:r>
              <w:t>aura des pains de glace (liquide de plus</w:t>
            </w:r>
            <w:r w:rsidR="00B54AB2">
              <w:t xml:space="preserve"> </w:t>
            </w:r>
            <w:r>
              <w:t>de 100ml) en amont.</w:t>
            </w:r>
          </w:p>
          <w:p w14:paraId="758BA920" w14:textId="1FB6EAC2" w:rsidR="00867A5F" w:rsidRDefault="00867A5F" w:rsidP="00867A5F">
            <w:r>
              <w:t>Utiliser des sacoches 30h de</w:t>
            </w:r>
            <w:r w:rsidR="00B54AB2">
              <w:t xml:space="preserve"> </w:t>
            </w:r>
            <w:r>
              <w:t xml:space="preserve">conservation (ex : </w:t>
            </w:r>
            <w:proofErr w:type="spellStart"/>
            <w:r>
              <w:t>Icool</w:t>
            </w:r>
            <w:proofErr w:type="spellEnd"/>
            <w:r>
              <w:t xml:space="preserve"> </w:t>
            </w:r>
            <w:proofErr w:type="spellStart"/>
            <w:r>
              <w:t>Medicub</w:t>
            </w:r>
            <w:proofErr w:type="spellEnd"/>
            <w:r>
              <w:t xml:space="preserve"> (2</w:t>
            </w:r>
            <w:r w:rsidR="00B54AB2">
              <w:t xml:space="preserve"> </w:t>
            </w:r>
            <w:r>
              <w:t xml:space="preserve">sacoches </w:t>
            </w:r>
            <w:proofErr w:type="spellStart"/>
            <w:r>
              <w:t>Icool</w:t>
            </w:r>
            <w:proofErr w:type="spellEnd"/>
            <w:r>
              <w:t xml:space="preserve"> tiennent dans un bagage</w:t>
            </w:r>
            <w:r w:rsidR="00B54AB2">
              <w:t xml:space="preserve"> </w:t>
            </w:r>
            <w:r>
              <w:t>cabine</w:t>
            </w:r>
          </w:p>
          <w:p w14:paraId="127ED1B6" w14:textId="311DA99E" w:rsidR="004018E9" w:rsidRDefault="00867A5F" w:rsidP="00867A5F">
            <w:r>
              <w:t>Astuce : pour une grande quantité de</w:t>
            </w:r>
            <w:r w:rsidR="00B54AB2">
              <w:t xml:space="preserve"> </w:t>
            </w:r>
            <w:r>
              <w:t>médicaments, possibilité d’utiliser une</w:t>
            </w:r>
            <w:r w:rsidR="00B54AB2">
              <w:t xml:space="preserve"> </w:t>
            </w:r>
            <w:r>
              <w:t>sacoche de transport d’organes (taille</w:t>
            </w:r>
            <w:r w:rsidR="00B54AB2">
              <w:t xml:space="preserve"> </w:t>
            </w:r>
            <w:r>
              <w:t>bagage cabine)</w:t>
            </w:r>
          </w:p>
        </w:tc>
        <w:tc>
          <w:tcPr>
            <w:tcW w:w="5529" w:type="dxa"/>
          </w:tcPr>
          <w:p w14:paraId="5756F30E" w14:textId="522A6F8C" w:rsidR="00867A5F" w:rsidRDefault="00867A5F" w:rsidP="00867A5F">
            <w:r>
              <w:lastRenderedPageBreak/>
              <w:t>Transport des médicaments : privilégier les</w:t>
            </w:r>
            <w:r w:rsidR="00B54AB2">
              <w:t xml:space="preserve"> </w:t>
            </w:r>
            <w:r>
              <w:t>bagages cabines (pour éviter risque de perte de</w:t>
            </w:r>
            <w:r w:rsidR="00B54AB2">
              <w:t xml:space="preserve"> </w:t>
            </w:r>
            <w:r>
              <w:t xml:space="preserve">bagage en </w:t>
            </w:r>
            <w:proofErr w:type="spellStart"/>
            <w:r>
              <w:t>soute</w:t>
            </w:r>
            <w:proofErr w:type="spellEnd"/>
            <w:r>
              <w:t>). Si besoin de conserver les</w:t>
            </w:r>
            <w:r w:rsidR="00B54AB2">
              <w:t xml:space="preserve"> </w:t>
            </w:r>
            <w:r>
              <w:t>traitements au frais :</w:t>
            </w:r>
          </w:p>
          <w:p w14:paraId="4AB1221D" w14:textId="6DF74FB5" w:rsidR="00867A5F" w:rsidRDefault="00867A5F" w:rsidP="00867A5F">
            <w:r>
              <w:t>Prévenir la compagnie que l’étudiant</w:t>
            </w:r>
            <w:r w:rsidR="00B54AB2">
              <w:t xml:space="preserve"> </w:t>
            </w:r>
            <w:r>
              <w:t>aura des pains de glace (liquide de plus</w:t>
            </w:r>
            <w:r w:rsidR="00B54AB2">
              <w:t xml:space="preserve"> </w:t>
            </w:r>
            <w:r>
              <w:t xml:space="preserve">de 100ml) en amont. Si </w:t>
            </w:r>
            <w:r>
              <w:lastRenderedPageBreak/>
              <w:t>changement de</w:t>
            </w:r>
            <w:r w:rsidR="00B54AB2">
              <w:t xml:space="preserve"> </w:t>
            </w:r>
            <w:r>
              <w:t>vol et de compagnie, prévenir</w:t>
            </w:r>
            <w:r w:rsidR="00B54AB2">
              <w:t xml:space="preserve"> </w:t>
            </w:r>
            <w:r>
              <w:t>également la 2ème compagnie</w:t>
            </w:r>
          </w:p>
          <w:p w14:paraId="4738D034" w14:textId="527D34DC" w:rsidR="00867A5F" w:rsidRDefault="00867A5F" w:rsidP="00867A5F">
            <w:r>
              <w:t>Utiliser des sacoches 30h de</w:t>
            </w:r>
            <w:r w:rsidR="00B54AB2">
              <w:t xml:space="preserve"> </w:t>
            </w:r>
            <w:r>
              <w:t xml:space="preserve">conservation (ex : </w:t>
            </w:r>
            <w:proofErr w:type="spellStart"/>
            <w:r>
              <w:t>Icool</w:t>
            </w:r>
            <w:proofErr w:type="spellEnd"/>
            <w:r>
              <w:t xml:space="preserve"> </w:t>
            </w:r>
            <w:proofErr w:type="spellStart"/>
            <w:r>
              <w:t>Medicup</w:t>
            </w:r>
            <w:proofErr w:type="spellEnd"/>
            <w:r>
              <w:t xml:space="preserve"> (2</w:t>
            </w:r>
            <w:r w:rsidR="00B54AB2">
              <w:t xml:space="preserve"> </w:t>
            </w:r>
            <w:r>
              <w:t xml:space="preserve">sacoches </w:t>
            </w:r>
            <w:proofErr w:type="spellStart"/>
            <w:r>
              <w:t>Icool</w:t>
            </w:r>
            <w:proofErr w:type="spellEnd"/>
            <w:r>
              <w:t xml:space="preserve"> tiennent dans un bagage</w:t>
            </w:r>
            <w:r w:rsidR="00B54AB2">
              <w:t xml:space="preserve"> </w:t>
            </w:r>
            <w:r>
              <w:t>cabine</w:t>
            </w:r>
          </w:p>
          <w:p w14:paraId="263FE3BF" w14:textId="4F19C51F" w:rsidR="004018E9" w:rsidRDefault="00867A5F" w:rsidP="00867A5F">
            <w:r>
              <w:t>Astuce : pour une grande quantité de</w:t>
            </w:r>
            <w:r w:rsidR="00B54AB2">
              <w:t xml:space="preserve"> </w:t>
            </w:r>
            <w:r>
              <w:t>médicaments, possibilité d’utiliser une</w:t>
            </w:r>
            <w:r w:rsidR="00B54AB2">
              <w:t xml:space="preserve"> </w:t>
            </w:r>
            <w:r>
              <w:t>sacoche de transport d’organes (taille</w:t>
            </w:r>
            <w:r w:rsidR="00B54AB2">
              <w:t xml:space="preserve"> </w:t>
            </w:r>
            <w:r>
              <w:t>bagage cabine)</w:t>
            </w:r>
          </w:p>
        </w:tc>
      </w:tr>
      <w:tr w:rsidR="004018E9" w14:paraId="7369A0A3" w14:textId="77777777" w:rsidTr="000D5D99">
        <w:tc>
          <w:tcPr>
            <w:tcW w:w="5245" w:type="dxa"/>
          </w:tcPr>
          <w:p w14:paraId="30331A60" w14:textId="460D6553" w:rsidR="004018E9" w:rsidRDefault="009244A3" w:rsidP="00684441">
            <w:r w:rsidRPr="009244A3">
              <w:lastRenderedPageBreak/>
              <w:t>Sacoches peuvent être financées par Erasmus +</w:t>
            </w:r>
          </w:p>
        </w:tc>
        <w:tc>
          <w:tcPr>
            <w:tcW w:w="5529" w:type="dxa"/>
          </w:tcPr>
          <w:p w14:paraId="515D6BC7" w14:textId="77777777" w:rsidR="009244A3" w:rsidRDefault="009244A3" w:rsidP="009244A3">
            <w:r>
              <w:t>Sacoches peuvent être financées par la bourse</w:t>
            </w:r>
          </w:p>
          <w:p w14:paraId="338794F1" w14:textId="07FC9BC5" w:rsidR="004018E9" w:rsidRDefault="009244A3" w:rsidP="009244A3">
            <w:proofErr w:type="spellStart"/>
            <w:r>
              <w:t>Siesh</w:t>
            </w:r>
            <w:proofErr w:type="spellEnd"/>
            <w:r>
              <w:t xml:space="preserve"> </w:t>
            </w:r>
            <w:proofErr w:type="spellStart"/>
            <w:r>
              <w:t>Cge</w:t>
            </w:r>
            <w:proofErr w:type="spellEnd"/>
          </w:p>
        </w:tc>
      </w:tr>
    </w:tbl>
    <w:p w14:paraId="66A7ECB2" w14:textId="01F9D6AF" w:rsidR="004018E9" w:rsidRDefault="004018E9" w:rsidP="00684441"/>
    <w:p w14:paraId="191C92D7" w14:textId="49D01DD8" w:rsidR="00625A27" w:rsidRPr="000D5D99" w:rsidRDefault="009244A3" w:rsidP="00684441">
      <w:pPr>
        <w:rPr>
          <w:b/>
          <w:bCs/>
          <w:u w:val="single"/>
        </w:rPr>
      </w:pPr>
      <w:r w:rsidRPr="000D5D99">
        <w:rPr>
          <w:b/>
          <w:bCs/>
          <w:u w:val="single"/>
        </w:rPr>
        <w:t>A domicile et dans le quotidien</w:t>
      </w:r>
      <w:r w:rsidR="000D5D99" w:rsidRPr="000D5D99">
        <w:rPr>
          <w:b/>
          <w:bCs/>
          <w:u w:val="single"/>
        </w:rPr>
        <w:t xml:space="preserve"> : </w:t>
      </w:r>
    </w:p>
    <w:tbl>
      <w:tblPr>
        <w:tblStyle w:val="Grilledutableau"/>
        <w:tblW w:w="10774" w:type="dxa"/>
        <w:tblInd w:w="-714" w:type="dxa"/>
        <w:tblLook w:val="04A0" w:firstRow="1" w:lastRow="0" w:firstColumn="1" w:lastColumn="0" w:noHBand="0" w:noVBand="1"/>
      </w:tblPr>
      <w:tblGrid>
        <w:gridCol w:w="5245"/>
        <w:gridCol w:w="5529"/>
      </w:tblGrid>
      <w:tr w:rsidR="00625A27" w14:paraId="0FE7228D" w14:textId="77777777" w:rsidTr="000D5D99">
        <w:tc>
          <w:tcPr>
            <w:tcW w:w="5245" w:type="dxa"/>
            <w:shd w:val="clear" w:color="auto" w:fill="E8E8E8" w:themeFill="background2"/>
          </w:tcPr>
          <w:p w14:paraId="1CAC58D7" w14:textId="60CD55AC" w:rsidR="00625A27" w:rsidRDefault="00625A27" w:rsidP="00684441">
            <w:r>
              <w:t xml:space="preserve">En </w:t>
            </w:r>
            <w:r w:rsidR="009B6A5B">
              <w:t>E</w:t>
            </w:r>
            <w:r>
              <w:t>urope</w:t>
            </w:r>
          </w:p>
        </w:tc>
        <w:tc>
          <w:tcPr>
            <w:tcW w:w="5529" w:type="dxa"/>
            <w:shd w:val="clear" w:color="auto" w:fill="E8E8E8" w:themeFill="background2"/>
          </w:tcPr>
          <w:p w14:paraId="1AD8F2CB" w14:textId="597997C4" w:rsidR="00625A27" w:rsidRDefault="009B6A5B" w:rsidP="00684441">
            <w:r>
              <w:t>Hors Europe</w:t>
            </w:r>
          </w:p>
        </w:tc>
      </w:tr>
      <w:tr w:rsidR="00625A27" w14:paraId="45A1D640" w14:textId="77777777" w:rsidTr="000D5D99">
        <w:tc>
          <w:tcPr>
            <w:tcW w:w="5245" w:type="dxa"/>
          </w:tcPr>
          <w:p w14:paraId="6CB894E2" w14:textId="1D7B29CF" w:rsidR="009B6A5B" w:rsidRDefault="009B6A5B" w:rsidP="009B6A5B">
            <w:r>
              <w:t>Pour trouver des agences d’aide à domicile, ou</w:t>
            </w:r>
            <w:r w:rsidR="00B54AB2">
              <w:t xml:space="preserve"> </w:t>
            </w:r>
            <w:r>
              <w:t>d’accompagnement spécialisé, ne pas hésiter à</w:t>
            </w:r>
            <w:r w:rsidR="00B54AB2">
              <w:t xml:space="preserve"> </w:t>
            </w:r>
            <w:r>
              <w:t>passer par l’ambassade (référent handicap</w:t>
            </w:r>
          </w:p>
          <w:p w14:paraId="312535AB" w14:textId="14E0AE41" w:rsidR="00625A27" w:rsidRDefault="009B6A5B" w:rsidP="009B6A5B">
            <w:r>
              <w:t>(Berlin ou Lisbonne)), ou les réseaux des</w:t>
            </w:r>
            <w:r w:rsidR="00B54AB2">
              <w:t xml:space="preserve"> Français</w:t>
            </w:r>
            <w:r>
              <w:t xml:space="preserve"> des pays d’accueil (</w:t>
            </w:r>
            <w:r w:rsidR="00B54AB2">
              <w:t>Facebook</w:t>
            </w:r>
            <w:r>
              <w:t>,</w:t>
            </w:r>
            <w:r w:rsidR="00B54AB2">
              <w:t xml:space="preserve"> </w:t>
            </w:r>
            <w:r>
              <w:t>associations indiquées sur site de l’ambassade).</w:t>
            </w:r>
            <w:r w:rsidR="00B54AB2">
              <w:t xml:space="preserve"> </w:t>
            </w:r>
            <w:r>
              <w:t>N’hésitez pas également à solliciter les conseils</w:t>
            </w:r>
            <w:r w:rsidR="00B54AB2">
              <w:t xml:space="preserve"> </w:t>
            </w:r>
            <w:r>
              <w:t>de la mission handicap/santé de l’université</w:t>
            </w:r>
            <w:r w:rsidR="00B54AB2">
              <w:t xml:space="preserve"> d’accueil</w:t>
            </w:r>
            <w:r>
              <w:t>.</w:t>
            </w:r>
          </w:p>
        </w:tc>
        <w:tc>
          <w:tcPr>
            <w:tcW w:w="5529" w:type="dxa"/>
          </w:tcPr>
          <w:p w14:paraId="182C0610" w14:textId="62DAD024" w:rsidR="00FF2237" w:rsidRDefault="00FF2237" w:rsidP="00FF2237">
            <w:r>
              <w:t>Pour trouver des agences d’aide à domicile, ou</w:t>
            </w:r>
            <w:r w:rsidR="00B54AB2">
              <w:t xml:space="preserve"> </w:t>
            </w:r>
            <w:r>
              <w:t>d’accompagnement spécialisé, ne pas hésiter à</w:t>
            </w:r>
            <w:r w:rsidR="00B54AB2">
              <w:t xml:space="preserve"> </w:t>
            </w:r>
            <w:r>
              <w:t>passer par l’ambassade (référent handicap</w:t>
            </w:r>
          </w:p>
          <w:p w14:paraId="7B88AEAB" w14:textId="5B400FA0" w:rsidR="00625A27" w:rsidRDefault="00FF2237" w:rsidP="00FF2237">
            <w:r>
              <w:t xml:space="preserve">(Mexico)), ou les réseaux des </w:t>
            </w:r>
            <w:r w:rsidR="00B54AB2">
              <w:t>Français</w:t>
            </w:r>
            <w:r>
              <w:t xml:space="preserve"> des pays</w:t>
            </w:r>
            <w:r w:rsidR="00B54AB2">
              <w:t xml:space="preserve"> </w:t>
            </w:r>
            <w:r>
              <w:t>d’accueil (</w:t>
            </w:r>
            <w:r w:rsidR="00B54AB2">
              <w:t>Facebook</w:t>
            </w:r>
            <w:r>
              <w:t>, assos indiquées sur site de</w:t>
            </w:r>
            <w:r w:rsidR="00B54AB2">
              <w:t xml:space="preserve"> </w:t>
            </w:r>
            <w:r>
              <w:t>l’ambassade). N’hésitez pas également à</w:t>
            </w:r>
            <w:r w:rsidR="00B54AB2">
              <w:t xml:space="preserve"> </w:t>
            </w:r>
            <w:r>
              <w:t>solliciter les conseils de la mission</w:t>
            </w:r>
            <w:r w:rsidR="00B54AB2">
              <w:t xml:space="preserve"> </w:t>
            </w:r>
            <w:r>
              <w:t>handicap/santé de l’université d’accueil.</w:t>
            </w:r>
          </w:p>
        </w:tc>
      </w:tr>
      <w:tr w:rsidR="00625A27" w14:paraId="0570C6F4" w14:textId="77777777" w:rsidTr="000D5D99">
        <w:tc>
          <w:tcPr>
            <w:tcW w:w="5245" w:type="dxa"/>
          </w:tcPr>
          <w:p w14:paraId="72A2CE57" w14:textId="77777777" w:rsidR="00962594" w:rsidRDefault="00962594" w:rsidP="00962594">
            <w:r>
              <w:t>Financement possible par Erasmus + sur devis.</w:t>
            </w:r>
          </w:p>
          <w:p w14:paraId="34E410EA" w14:textId="6F99AF7B" w:rsidR="00962594" w:rsidRDefault="00962594" w:rsidP="00962594">
            <w:r>
              <w:t>Vérifier si la PCH française peut couvrir certains</w:t>
            </w:r>
            <w:r w:rsidR="00B54AB2">
              <w:t xml:space="preserve"> </w:t>
            </w:r>
            <w:r>
              <w:t>frais à l’étranger</w:t>
            </w:r>
          </w:p>
          <w:p w14:paraId="6CA5201A" w14:textId="2C31A5FE" w:rsidR="00625A27" w:rsidRDefault="00962594" w:rsidP="00962594">
            <w:r>
              <w:t>La bourse Erasmus + peut également financer le</w:t>
            </w:r>
            <w:r w:rsidR="00B54AB2">
              <w:t xml:space="preserve"> </w:t>
            </w:r>
            <w:r>
              <w:t>vol complémentaire d’un accompagnant, le</w:t>
            </w:r>
            <w:r w:rsidR="00B54AB2">
              <w:t xml:space="preserve"> </w:t>
            </w:r>
            <w:r>
              <w:t>temps de l’aide à l’installation de l’étudiant en</w:t>
            </w:r>
            <w:r w:rsidR="00B54AB2">
              <w:t xml:space="preserve"> </w:t>
            </w:r>
            <w:r>
              <w:t>situation de handicap</w:t>
            </w:r>
          </w:p>
        </w:tc>
        <w:tc>
          <w:tcPr>
            <w:tcW w:w="5529" w:type="dxa"/>
          </w:tcPr>
          <w:p w14:paraId="34D68FD8" w14:textId="77777777" w:rsidR="00962594" w:rsidRDefault="00962594" w:rsidP="00962594">
            <w:r>
              <w:t xml:space="preserve">Financement par bourse </w:t>
            </w:r>
            <w:proofErr w:type="spellStart"/>
            <w:r>
              <w:t>Siesh</w:t>
            </w:r>
            <w:proofErr w:type="spellEnd"/>
            <w:r>
              <w:t xml:space="preserve"> – </w:t>
            </w:r>
            <w:proofErr w:type="spellStart"/>
            <w:r>
              <w:t>Cge</w:t>
            </w:r>
            <w:proofErr w:type="spellEnd"/>
          </w:p>
          <w:p w14:paraId="15CD70E5" w14:textId="09CCCBDB" w:rsidR="00625A27" w:rsidRDefault="00962594" w:rsidP="00962594">
            <w:r>
              <w:t xml:space="preserve">La bourse </w:t>
            </w:r>
            <w:proofErr w:type="spellStart"/>
            <w:r>
              <w:t>Siesh-Cge</w:t>
            </w:r>
            <w:proofErr w:type="spellEnd"/>
            <w:r>
              <w:t xml:space="preserve"> peut également financer le</w:t>
            </w:r>
            <w:r w:rsidR="00B54AB2">
              <w:t xml:space="preserve"> </w:t>
            </w:r>
            <w:r>
              <w:t>vol complémentaire d’un accompagnant, le</w:t>
            </w:r>
            <w:r w:rsidR="00B54AB2">
              <w:t xml:space="preserve"> </w:t>
            </w:r>
            <w:r>
              <w:t>temps de l’aide à l’installation de l’étudiant en</w:t>
            </w:r>
            <w:r w:rsidR="00B54AB2">
              <w:t xml:space="preserve"> </w:t>
            </w:r>
            <w:r>
              <w:t>situation de handicap</w:t>
            </w:r>
          </w:p>
        </w:tc>
      </w:tr>
    </w:tbl>
    <w:p w14:paraId="2208F15D" w14:textId="77777777" w:rsidR="00962594" w:rsidRDefault="00962594" w:rsidP="00684441"/>
    <w:p w14:paraId="7B33BE84" w14:textId="515831F2" w:rsidR="00962594" w:rsidRPr="000D5D99" w:rsidRDefault="00962594" w:rsidP="00BE13C9">
      <w:pPr>
        <w:rPr>
          <w:b/>
          <w:bCs/>
          <w:u w:val="single"/>
        </w:rPr>
      </w:pPr>
      <w:r w:rsidRPr="000D5D99">
        <w:rPr>
          <w:b/>
          <w:bCs/>
          <w:u w:val="single"/>
        </w:rPr>
        <w:t xml:space="preserve">Autres conseils financiers : </w:t>
      </w:r>
    </w:p>
    <w:p w14:paraId="4E8FCD3C" w14:textId="61D70639" w:rsidR="00BE13C9" w:rsidRDefault="00BE13C9" w:rsidP="00BE13C9">
      <w:pPr>
        <w:pStyle w:val="Paragraphedeliste"/>
        <w:numPr>
          <w:ilvl w:val="0"/>
          <w:numId w:val="2"/>
        </w:numPr>
      </w:pPr>
      <w:r>
        <w:t>Si l’étudiant est bénéficiaire de l’AAH et ou d’une PCH</w:t>
      </w:r>
      <w:r w:rsidR="00D65C03">
        <w:t>, celles-ci sont maintenues (vérifier les conditions auprès de la MDPH, et dans l’étude</w:t>
      </w:r>
      <w:r w:rsidR="00E16A85">
        <w:t xml:space="preserve"> exploratoire (durée, devis locaux (</w:t>
      </w:r>
      <w:r w:rsidR="00FC312C">
        <w:t xml:space="preserve">ex pour les transports ou l’aide à domicile)) </w:t>
      </w:r>
    </w:p>
    <w:p w14:paraId="2BEF404A" w14:textId="258E7829" w:rsidR="00FC312C" w:rsidRDefault="00FC312C" w:rsidP="00BE13C9">
      <w:pPr>
        <w:pStyle w:val="Paragraphedeliste"/>
        <w:numPr>
          <w:ilvl w:val="0"/>
          <w:numId w:val="2"/>
        </w:numPr>
      </w:pPr>
      <w:r>
        <w:t>Pour l’Europe : ERASMUS + propose un financement « inclusion » =&gt;</w:t>
      </w:r>
      <w:r w:rsidR="007F526D">
        <w:t xml:space="preserve"> financements complémentaires pour des jeunes en situation de handicap, des territoires ruraux …</w:t>
      </w:r>
    </w:p>
    <w:p w14:paraId="5EE16BEE" w14:textId="17880F23" w:rsidR="00496B76" w:rsidRDefault="00496B76" w:rsidP="00BE13C9">
      <w:pPr>
        <w:pStyle w:val="Paragraphedeliste"/>
        <w:numPr>
          <w:ilvl w:val="0"/>
          <w:numId w:val="2"/>
        </w:numPr>
      </w:pPr>
      <w:r>
        <w:t>Pour l’Europe </w:t>
      </w:r>
      <w:r w:rsidR="00877AF6">
        <w:t xml:space="preserve">et l’international </w:t>
      </w:r>
      <w:r>
        <w:t>: ERASMUS +</w:t>
      </w:r>
      <w:r w:rsidR="00877AF6">
        <w:t xml:space="preserve"> peut proposer un financement complémentaire lié au surcoût de la mobilité, pour les étudiants ayant besoin d’aménagements, logement, accompagnement, ou autres besoins</w:t>
      </w:r>
    </w:p>
    <w:p w14:paraId="7C480B1A" w14:textId="77777777" w:rsidR="00496B76" w:rsidRDefault="00496B76" w:rsidP="00496B76"/>
    <w:p w14:paraId="3E568E6F" w14:textId="5DA64971" w:rsidR="00496B76" w:rsidRDefault="00496B76" w:rsidP="00496B76">
      <w:r>
        <w:t xml:space="preserve">En plus des conseils obtenus </w:t>
      </w:r>
      <w:r w:rsidR="002501FA">
        <w:t xml:space="preserve">auprès de l’ambassade, des réseaux français de l’étranger, des étudiants et des référents handicap des </w:t>
      </w:r>
      <w:r w:rsidR="00DE31CD">
        <w:t xml:space="preserve">écoles ou universités qui accueillent les étudiants en mobilité, les étudiants peuvent s’appuyer </w:t>
      </w:r>
      <w:r w:rsidR="0086450E">
        <w:t xml:space="preserve">sur les missions handicap des établissements qui les accueillent, souvent appelée « Health &amp; </w:t>
      </w:r>
      <w:proofErr w:type="spellStart"/>
      <w:r w:rsidR="00140390">
        <w:t>Disabilities</w:t>
      </w:r>
      <w:proofErr w:type="spellEnd"/>
      <w:r w:rsidR="00140390">
        <w:t xml:space="preserve"> ». </w:t>
      </w:r>
    </w:p>
    <w:sectPr w:rsidR="00496B7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FA0E" w14:textId="77777777" w:rsidR="0084402B" w:rsidRDefault="0084402B" w:rsidP="004F2E15">
      <w:pPr>
        <w:spacing w:after="0" w:line="240" w:lineRule="auto"/>
      </w:pPr>
      <w:r>
        <w:separator/>
      </w:r>
    </w:p>
  </w:endnote>
  <w:endnote w:type="continuationSeparator" w:id="0">
    <w:p w14:paraId="5349DAE7" w14:textId="77777777" w:rsidR="0084402B" w:rsidRDefault="0084402B" w:rsidP="004F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CEB5" w14:textId="77777777" w:rsidR="0084402B" w:rsidRDefault="0084402B" w:rsidP="004F2E15">
      <w:pPr>
        <w:spacing w:after="0" w:line="240" w:lineRule="auto"/>
      </w:pPr>
      <w:r>
        <w:separator/>
      </w:r>
    </w:p>
  </w:footnote>
  <w:footnote w:type="continuationSeparator" w:id="0">
    <w:p w14:paraId="43304A87" w14:textId="77777777" w:rsidR="0084402B" w:rsidRDefault="0084402B" w:rsidP="004F2E15">
      <w:pPr>
        <w:spacing w:after="0" w:line="240" w:lineRule="auto"/>
      </w:pPr>
      <w:r>
        <w:continuationSeparator/>
      </w:r>
    </w:p>
  </w:footnote>
  <w:footnote w:id="1">
    <w:p w14:paraId="66B4CDDF" w14:textId="49EBC01A" w:rsidR="00FF194F" w:rsidRDefault="00FF194F">
      <w:pPr>
        <w:pStyle w:val="Notedebasdepage"/>
      </w:pPr>
      <w:r>
        <w:rPr>
          <w:rStyle w:val="Appelnotedebasdep"/>
        </w:rPr>
        <w:footnoteRef/>
      </w:r>
      <w:r>
        <w:t xml:space="preserve"> Un justificatif de RQTH est obligatoire pour les étudiants en </w:t>
      </w:r>
      <w:r w:rsidR="00C046B9">
        <w:t>alternance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8474" w14:textId="3F66E4EE" w:rsidR="004F2E15" w:rsidRDefault="009D4596" w:rsidP="009D4596">
    <w:pPr>
      <w:pStyle w:val="En-tte"/>
      <w:tabs>
        <w:tab w:val="clear" w:pos="4536"/>
        <w:tab w:val="clear" w:pos="9072"/>
        <w:tab w:val="left" w:pos="5784"/>
      </w:tabs>
    </w:pPr>
    <w:r w:rsidRPr="00DD334D">
      <w:rPr>
        <w:noProof/>
      </w:rPr>
      <w:drawing>
        <wp:anchor distT="0" distB="0" distL="114300" distR="114300" simplePos="0" relativeHeight="251659264" behindDoc="1" locked="0" layoutInCell="1" allowOverlap="1" wp14:anchorId="7F892C0B" wp14:editId="30C6B2BC">
          <wp:simplePos x="0" y="0"/>
          <wp:positionH relativeFrom="margin">
            <wp:align>right</wp:align>
          </wp:positionH>
          <wp:positionV relativeFrom="paragraph">
            <wp:posOffset>-312420</wp:posOffset>
          </wp:positionV>
          <wp:extent cx="1124517" cy="1036320"/>
          <wp:effectExtent l="0" t="0" r="0" b="0"/>
          <wp:wrapNone/>
          <wp:docPr id="1632549664" name="Image 1" descr="Une image contenant Graphique, graphisme,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49664" name="Image 1" descr="Une image contenant Graphique, graphisme, logo, Poli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4517" cy="1036320"/>
                  </a:xfrm>
                  <a:prstGeom prst="rect">
                    <a:avLst/>
                  </a:prstGeom>
                </pic:spPr>
              </pic:pic>
            </a:graphicData>
          </a:graphic>
          <wp14:sizeRelH relativeFrom="page">
            <wp14:pctWidth>0</wp14:pctWidth>
          </wp14:sizeRelH>
          <wp14:sizeRelV relativeFrom="page">
            <wp14:pctHeight>0</wp14:pctHeight>
          </wp14:sizeRelV>
        </wp:anchor>
      </w:drawing>
    </w:r>
    <w:r w:rsidRPr="009D4596">
      <w:rPr>
        <w:noProof/>
      </w:rPr>
      <w:drawing>
        <wp:anchor distT="0" distB="0" distL="114300" distR="114300" simplePos="0" relativeHeight="251658240" behindDoc="1" locked="0" layoutInCell="1" allowOverlap="1" wp14:anchorId="67F1510E" wp14:editId="4F76EE07">
          <wp:simplePos x="0" y="0"/>
          <wp:positionH relativeFrom="rightMargin">
            <wp:align>left</wp:align>
          </wp:positionH>
          <wp:positionV relativeFrom="paragraph">
            <wp:posOffset>-152400</wp:posOffset>
          </wp:positionV>
          <wp:extent cx="769620" cy="769620"/>
          <wp:effectExtent l="0" t="0" r="0" b="0"/>
          <wp:wrapNone/>
          <wp:docPr id="2104105462" name="Image 1" descr="Une image contenant logo, Police, Graphiqu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05462" name="Image 1" descr="Une image contenant logo, Police, Graphique, cercl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14:sizeRelH relativeFrom="page">
            <wp14:pctWidth>0</wp14:pctWidth>
          </wp14:sizeRelH>
          <wp14:sizeRelV relativeFrom="page">
            <wp14:pctHeight>0</wp14:pctHeight>
          </wp14:sizeRelV>
        </wp:anchor>
      </w:drawing>
    </w:r>
    <w:r w:rsidR="004F2E15" w:rsidRPr="004F2E15">
      <w:rPr>
        <w:noProof/>
      </w:rPr>
      <w:drawing>
        <wp:inline distT="0" distB="0" distL="0" distR="0" wp14:anchorId="13F8864C" wp14:editId="6C9F0500">
          <wp:extent cx="1044690" cy="696460"/>
          <wp:effectExtent l="0" t="0" r="3175" b="8890"/>
          <wp:docPr id="838950114" name="Image 1"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50114" name="Image 1" descr="Une image contenant Police, logo, Graphique, texte&#10;&#10;Description générée automatiquement"/>
                  <pic:cNvPicPr/>
                </pic:nvPicPr>
                <pic:blipFill>
                  <a:blip r:embed="rId3"/>
                  <a:stretch>
                    <a:fillRect/>
                  </a:stretch>
                </pic:blipFill>
                <pic:spPr>
                  <a:xfrm>
                    <a:off x="0" y="0"/>
                    <a:ext cx="1051955" cy="701303"/>
                  </a:xfrm>
                  <a:prstGeom prst="rect">
                    <a:avLst/>
                  </a:prstGeom>
                </pic:spPr>
              </pic:pic>
            </a:graphicData>
          </a:graphic>
        </wp:inline>
      </w:drawing>
    </w:r>
    <w:r w:rsidR="004F2E15">
      <w:rPr>
        <w:noProof/>
      </w:rPr>
      <mc:AlternateContent>
        <mc:Choice Requires="wps">
          <w:drawing>
            <wp:inline distT="0" distB="0" distL="0" distR="0" wp14:anchorId="059AF310" wp14:editId="0648E32B">
              <wp:extent cx="303530" cy="303530"/>
              <wp:effectExtent l="0" t="0" r="0" b="0"/>
              <wp:docPr id="1895433208" name="Rectangle 3" descr="TotalEnergies — Wikipé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AF623" id="Rectangle 3" o:spid="_x0000_s1026" alt="TotalEnergies — Wikipé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sidR="004F2E15">
      <w:rPr>
        <w:noProof/>
      </w:rPr>
      <mc:AlternateContent>
        <mc:Choice Requires="wps">
          <w:drawing>
            <wp:inline distT="0" distB="0" distL="0" distR="0" wp14:anchorId="4C5C07D3" wp14:editId="7F183A3B">
              <wp:extent cx="303530" cy="303530"/>
              <wp:effectExtent l="0" t="0" r="0" b="0"/>
              <wp:docPr id="2088237613" name="Rectangle 4" descr="TotalEnergies — Wikipé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33C91" id="Rectangle 4" o:spid="_x0000_s1026" alt="TotalEnergies — Wikipé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sidR="00DD334D" w:rsidRPr="00DD334D">
      <w:rPr>
        <w:noProof/>
      </w:rP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E02"/>
    <w:multiLevelType w:val="hybridMultilevel"/>
    <w:tmpl w:val="98404A30"/>
    <w:lvl w:ilvl="0" w:tplc="118C7E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A75E36"/>
    <w:multiLevelType w:val="hybridMultilevel"/>
    <w:tmpl w:val="F8C09C1C"/>
    <w:lvl w:ilvl="0" w:tplc="50C02F68">
      <w:numFmt w:val="bullet"/>
      <w:lvlText w:val="-"/>
      <w:lvlJc w:val="left"/>
      <w:pPr>
        <w:ind w:left="720" w:hanging="360"/>
      </w:pPr>
      <w:rPr>
        <w:rFonts w:ascii="Aptos" w:eastAsiaTheme="minorHAnsi" w:hAnsi="Aptos" w:cstheme="minorBidi" w:hint="default"/>
        <w:b w:val="0"/>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040CBB"/>
    <w:multiLevelType w:val="multilevel"/>
    <w:tmpl w:val="328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51C8D"/>
    <w:multiLevelType w:val="multilevel"/>
    <w:tmpl w:val="E60C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5E5D71"/>
    <w:multiLevelType w:val="hybridMultilevel"/>
    <w:tmpl w:val="F3AE1292"/>
    <w:lvl w:ilvl="0" w:tplc="0DE8C8E2">
      <w:start w:val="1"/>
      <w:numFmt w:val="decimal"/>
      <w:lvlText w:val="%1."/>
      <w:lvlJc w:val="left"/>
      <w:pPr>
        <w:ind w:left="720" w:hanging="360"/>
      </w:pPr>
      <w:rPr>
        <w:rFonts w:ascii="Arial Black" w:eastAsia="Arial Black" w:hAnsi="Arial Black" w:cs="Arial Black" w:hint="default"/>
        <w:b w:val="0"/>
        <w:bCs w:val="0"/>
        <w:i w:val="0"/>
        <w:iCs w:val="0"/>
        <w:spacing w:val="-1"/>
        <w:w w:val="72"/>
        <w:sz w:val="20"/>
        <w:szCs w:val="20"/>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AE6DE8"/>
    <w:multiLevelType w:val="multilevel"/>
    <w:tmpl w:val="7D96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8D1873"/>
    <w:multiLevelType w:val="multilevel"/>
    <w:tmpl w:val="60D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D8115E"/>
    <w:multiLevelType w:val="multilevel"/>
    <w:tmpl w:val="FE42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2231242">
    <w:abstractNumId w:val="0"/>
  </w:num>
  <w:num w:numId="2" w16cid:durableId="1184251221">
    <w:abstractNumId w:val="1"/>
  </w:num>
  <w:num w:numId="3" w16cid:durableId="1625112520">
    <w:abstractNumId w:val="7"/>
  </w:num>
  <w:num w:numId="4" w16cid:durableId="1864978943">
    <w:abstractNumId w:val="2"/>
  </w:num>
  <w:num w:numId="5" w16cid:durableId="1129937742">
    <w:abstractNumId w:val="5"/>
  </w:num>
  <w:num w:numId="6" w16cid:durableId="1635330015">
    <w:abstractNumId w:val="3"/>
  </w:num>
  <w:num w:numId="7" w16cid:durableId="1826386752">
    <w:abstractNumId w:val="6"/>
  </w:num>
  <w:num w:numId="8" w16cid:durableId="650642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15"/>
    <w:rsid w:val="000060CE"/>
    <w:rsid w:val="00015E2E"/>
    <w:rsid w:val="000342B0"/>
    <w:rsid w:val="00057C5B"/>
    <w:rsid w:val="0006745F"/>
    <w:rsid w:val="00090292"/>
    <w:rsid w:val="000922A3"/>
    <w:rsid w:val="000A7951"/>
    <w:rsid w:val="000A7B0C"/>
    <w:rsid w:val="000D5D99"/>
    <w:rsid w:val="000E7867"/>
    <w:rsid w:val="000F2FBA"/>
    <w:rsid w:val="000F4FAF"/>
    <w:rsid w:val="001213F0"/>
    <w:rsid w:val="001362FC"/>
    <w:rsid w:val="001366A0"/>
    <w:rsid w:val="00137E54"/>
    <w:rsid w:val="00140390"/>
    <w:rsid w:val="00171DEF"/>
    <w:rsid w:val="00196EB4"/>
    <w:rsid w:val="001A7331"/>
    <w:rsid w:val="002060F4"/>
    <w:rsid w:val="00226105"/>
    <w:rsid w:val="00234A7B"/>
    <w:rsid w:val="00244D85"/>
    <w:rsid w:val="002501FA"/>
    <w:rsid w:val="00270B69"/>
    <w:rsid w:val="002B131D"/>
    <w:rsid w:val="002B1998"/>
    <w:rsid w:val="002D2525"/>
    <w:rsid w:val="002F3EA2"/>
    <w:rsid w:val="00304EB6"/>
    <w:rsid w:val="00325FAE"/>
    <w:rsid w:val="00336854"/>
    <w:rsid w:val="003654D1"/>
    <w:rsid w:val="003818C8"/>
    <w:rsid w:val="003C1A6C"/>
    <w:rsid w:val="003E1E19"/>
    <w:rsid w:val="003E76E6"/>
    <w:rsid w:val="003E7C64"/>
    <w:rsid w:val="004018E9"/>
    <w:rsid w:val="004222EF"/>
    <w:rsid w:val="00437D7E"/>
    <w:rsid w:val="004616F5"/>
    <w:rsid w:val="004740D8"/>
    <w:rsid w:val="00496B76"/>
    <w:rsid w:val="004C3301"/>
    <w:rsid w:val="004F2E15"/>
    <w:rsid w:val="00503BAA"/>
    <w:rsid w:val="00534A53"/>
    <w:rsid w:val="005410BC"/>
    <w:rsid w:val="00572A6D"/>
    <w:rsid w:val="005E3FEF"/>
    <w:rsid w:val="005E60E7"/>
    <w:rsid w:val="005F20A7"/>
    <w:rsid w:val="006077DC"/>
    <w:rsid w:val="00625A27"/>
    <w:rsid w:val="00630FFD"/>
    <w:rsid w:val="0066746D"/>
    <w:rsid w:val="00680099"/>
    <w:rsid w:val="00684441"/>
    <w:rsid w:val="006B13F5"/>
    <w:rsid w:val="006B719A"/>
    <w:rsid w:val="006D703C"/>
    <w:rsid w:val="0070059A"/>
    <w:rsid w:val="00731151"/>
    <w:rsid w:val="007559BF"/>
    <w:rsid w:val="0075621E"/>
    <w:rsid w:val="007B2A74"/>
    <w:rsid w:val="007D6ED0"/>
    <w:rsid w:val="007E6C33"/>
    <w:rsid w:val="007F526D"/>
    <w:rsid w:val="00813974"/>
    <w:rsid w:val="0084402B"/>
    <w:rsid w:val="0086078A"/>
    <w:rsid w:val="0086450E"/>
    <w:rsid w:val="00867A5F"/>
    <w:rsid w:val="00877AF6"/>
    <w:rsid w:val="008818DF"/>
    <w:rsid w:val="008867A7"/>
    <w:rsid w:val="00894259"/>
    <w:rsid w:val="008B652A"/>
    <w:rsid w:val="008C1D83"/>
    <w:rsid w:val="008C202C"/>
    <w:rsid w:val="008D5DC2"/>
    <w:rsid w:val="008E70CF"/>
    <w:rsid w:val="00905D3A"/>
    <w:rsid w:val="009204EB"/>
    <w:rsid w:val="0092304F"/>
    <w:rsid w:val="009244A3"/>
    <w:rsid w:val="009453DB"/>
    <w:rsid w:val="00962594"/>
    <w:rsid w:val="00964950"/>
    <w:rsid w:val="00967FD5"/>
    <w:rsid w:val="00981792"/>
    <w:rsid w:val="009B43E7"/>
    <w:rsid w:val="009B6A5B"/>
    <w:rsid w:val="009C039D"/>
    <w:rsid w:val="009D4596"/>
    <w:rsid w:val="009D5DEC"/>
    <w:rsid w:val="009E3A8F"/>
    <w:rsid w:val="009F5919"/>
    <w:rsid w:val="00A02ECB"/>
    <w:rsid w:val="00A20817"/>
    <w:rsid w:val="00A42C61"/>
    <w:rsid w:val="00A507C1"/>
    <w:rsid w:val="00A50BED"/>
    <w:rsid w:val="00A52464"/>
    <w:rsid w:val="00A55385"/>
    <w:rsid w:val="00A57394"/>
    <w:rsid w:val="00A60EB0"/>
    <w:rsid w:val="00AA5311"/>
    <w:rsid w:val="00AD2C4F"/>
    <w:rsid w:val="00AD4A76"/>
    <w:rsid w:val="00AE65AB"/>
    <w:rsid w:val="00AF3E10"/>
    <w:rsid w:val="00B111B0"/>
    <w:rsid w:val="00B1403F"/>
    <w:rsid w:val="00B41CD3"/>
    <w:rsid w:val="00B46D63"/>
    <w:rsid w:val="00B5034E"/>
    <w:rsid w:val="00B54AB2"/>
    <w:rsid w:val="00B70CAF"/>
    <w:rsid w:val="00B74E1E"/>
    <w:rsid w:val="00BA34BB"/>
    <w:rsid w:val="00BE13C9"/>
    <w:rsid w:val="00BE5C75"/>
    <w:rsid w:val="00BE6916"/>
    <w:rsid w:val="00C046B9"/>
    <w:rsid w:val="00C15112"/>
    <w:rsid w:val="00C176C3"/>
    <w:rsid w:val="00C22912"/>
    <w:rsid w:val="00C55834"/>
    <w:rsid w:val="00C808D9"/>
    <w:rsid w:val="00C97043"/>
    <w:rsid w:val="00D137B8"/>
    <w:rsid w:val="00D362D4"/>
    <w:rsid w:val="00D65C03"/>
    <w:rsid w:val="00D954C4"/>
    <w:rsid w:val="00DD334D"/>
    <w:rsid w:val="00DE31CD"/>
    <w:rsid w:val="00DF67E5"/>
    <w:rsid w:val="00E050E9"/>
    <w:rsid w:val="00E16A85"/>
    <w:rsid w:val="00E16B9E"/>
    <w:rsid w:val="00E36986"/>
    <w:rsid w:val="00E54D6D"/>
    <w:rsid w:val="00E640CD"/>
    <w:rsid w:val="00E8197F"/>
    <w:rsid w:val="00E86F48"/>
    <w:rsid w:val="00E94F7E"/>
    <w:rsid w:val="00E95CD2"/>
    <w:rsid w:val="00E96291"/>
    <w:rsid w:val="00EB083D"/>
    <w:rsid w:val="00EB5AD3"/>
    <w:rsid w:val="00EF2BAF"/>
    <w:rsid w:val="00F32BD1"/>
    <w:rsid w:val="00F769C1"/>
    <w:rsid w:val="00FA1194"/>
    <w:rsid w:val="00FB3C8F"/>
    <w:rsid w:val="00FC312C"/>
    <w:rsid w:val="00FD3057"/>
    <w:rsid w:val="00FF194F"/>
    <w:rsid w:val="00FF2237"/>
    <w:rsid w:val="00FF6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98FA5"/>
  <w15:chartTrackingRefBased/>
  <w15:docId w15:val="{EC53D97A-0F0F-48DF-8C8B-7A74AD6C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2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2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2E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2E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2E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2E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2E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2E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2E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2E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2E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2E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2E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2E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2E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2E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2E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2E15"/>
    <w:rPr>
      <w:rFonts w:eastAsiaTheme="majorEastAsia" w:cstheme="majorBidi"/>
      <w:color w:val="272727" w:themeColor="text1" w:themeTint="D8"/>
    </w:rPr>
  </w:style>
  <w:style w:type="paragraph" w:styleId="Titre">
    <w:name w:val="Title"/>
    <w:basedOn w:val="Normal"/>
    <w:next w:val="Normal"/>
    <w:link w:val="TitreCar"/>
    <w:uiPriority w:val="10"/>
    <w:qFormat/>
    <w:rsid w:val="004F2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2E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2E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2E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2E15"/>
    <w:pPr>
      <w:spacing w:before="160"/>
      <w:jc w:val="center"/>
    </w:pPr>
    <w:rPr>
      <w:i/>
      <w:iCs/>
      <w:color w:val="404040" w:themeColor="text1" w:themeTint="BF"/>
    </w:rPr>
  </w:style>
  <w:style w:type="character" w:customStyle="1" w:styleId="CitationCar">
    <w:name w:val="Citation Car"/>
    <w:basedOn w:val="Policepardfaut"/>
    <w:link w:val="Citation"/>
    <w:uiPriority w:val="29"/>
    <w:rsid w:val="004F2E15"/>
    <w:rPr>
      <w:i/>
      <w:iCs/>
      <w:color w:val="404040" w:themeColor="text1" w:themeTint="BF"/>
    </w:rPr>
  </w:style>
  <w:style w:type="paragraph" w:styleId="Paragraphedeliste">
    <w:name w:val="List Paragraph"/>
    <w:basedOn w:val="Normal"/>
    <w:uiPriority w:val="34"/>
    <w:qFormat/>
    <w:rsid w:val="004F2E15"/>
    <w:pPr>
      <w:ind w:left="720"/>
      <w:contextualSpacing/>
    </w:pPr>
  </w:style>
  <w:style w:type="character" w:styleId="Accentuationintense">
    <w:name w:val="Intense Emphasis"/>
    <w:basedOn w:val="Policepardfaut"/>
    <w:uiPriority w:val="21"/>
    <w:qFormat/>
    <w:rsid w:val="004F2E15"/>
    <w:rPr>
      <w:i/>
      <w:iCs/>
      <w:color w:val="0F4761" w:themeColor="accent1" w:themeShade="BF"/>
    </w:rPr>
  </w:style>
  <w:style w:type="paragraph" w:styleId="Citationintense">
    <w:name w:val="Intense Quote"/>
    <w:basedOn w:val="Normal"/>
    <w:next w:val="Normal"/>
    <w:link w:val="CitationintenseCar"/>
    <w:uiPriority w:val="30"/>
    <w:qFormat/>
    <w:rsid w:val="004F2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2E15"/>
    <w:rPr>
      <w:i/>
      <w:iCs/>
      <w:color w:val="0F4761" w:themeColor="accent1" w:themeShade="BF"/>
    </w:rPr>
  </w:style>
  <w:style w:type="character" w:styleId="Rfrenceintense">
    <w:name w:val="Intense Reference"/>
    <w:basedOn w:val="Policepardfaut"/>
    <w:uiPriority w:val="32"/>
    <w:qFormat/>
    <w:rsid w:val="004F2E15"/>
    <w:rPr>
      <w:b/>
      <w:bCs/>
      <w:smallCaps/>
      <w:color w:val="0F4761" w:themeColor="accent1" w:themeShade="BF"/>
      <w:spacing w:val="5"/>
    </w:rPr>
  </w:style>
  <w:style w:type="character" w:styleId="Lienhypertexte">
    <w:name w:val="Hyperlink"/>
    <w:basedOn w:val="Policepardfaut"/>
    <w:uiPriority w:val="99"/>
    <w:unhideWhenUsed/>
    <w:rsid w:val="004F2E15"/>
    <w:rPr>
      <w:color w:val="467886" w:themeColor="hyperlink"/>
      <w:u w:val="single"/>
    </w:rPr>
  </w:style>
  <w:style w:type="character" w:styleId="Mentionnonrsolue">
    <w:name w:val="Unresolved Mention"/>
    <w:basedOn w:val="Policepardfaut"/>
    <w:uiPriority w:val="99"/>
    <w:semiHidden/>
    <w:unhideWhenUsed/>
    <w:rsid w:val="004F2E15"/>
    <w:rPr>
      <w:color w:val="605E5C"/>
      <w:shd w:val="clear" w:color="auto" w:fill="E1DFDD"/>
    </w:rPr>
  </w:style>
  <w:style w:type="table" w:styleId="Grilledutableau">
    <w:name w:val="Table Grid"/>
    <w:basedOn w:val="TableauNormal"/>
    <w:uiPriority w:val="39"/>
    <w:rsid w:val="004F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F2E15"/>
    <w:pPr>
      <w:tabs>
        <w:tab w:val="center" w:pos="4536"/>
        <w:tab w:val="right" w:pos="9072"/>
      </w:tabs>
      <w:spacing w:after="0" w:line="240" w:lineRule="auto"/>
    </w:pPr>
  </w:style>
  <w:style w:type="character" w:customStyle="1" w:styleId="En-tteCar">
    <w:name w:val="En-tête Car"/>
    <w:basedOn w:val="Policepardfaut"/>
    <w:link w:val="En-tte"/>
    <w:uiPriority w:val="99"/>
    <w:rsid w:val="004F2E15"/>
  </w:style>
  <w:style w:type="paragraph" w:styleId="Pieddepage">
    <w:name w:val="footer"/>
    <w:basedOn w:val="Normal"/>
    <w:link w:val="PieddepageCar"/>
    <w:uiPriority w:val="99"/>
    <w:unhideWhenUsed/>
    <w:rsid w:val="004F2E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E15"/>
  </w:style>
  <w:style w:type="paragraph" w:styleId="Notedebasdepage">
    <w:name w:val="footnote text"/>
    <w:basedOn w:val="Normal"/>
    <w:link w:val="NotedebasdepageCar"/>
    <w:uiPriority w:val="99"/>
    <w:semiHidden/>
    <w:unhideWhenUsed/>
    <w:rsid w:val="00FF194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194F"/>
    <w:rPr>
      <w:sz w:val="20"/>
      <w:szCs w:val="20"/>
    </w:rPr>
  </w:style>
  <w:style w:type="character" w:styleId="Appelnotedebasdep">
    <w:name w:val="footnote reference"/>
    <w:basedOn w:val="Policepardfaut"/>
    <w:uiPriority w:val="99"/>
    <w:semiHidden/>
    <w:unhideWhenUsed/>
    <w:rsid w:val="00FF19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5647">
      <w:bodyDiv w:val="1"/>
      <w:marLeft w:val="0"/>
      <w:marRight w:val="0"/>
      <w:marTop w:val="0"/>
      <w:marBottom w:val="0"/>
      <w:divBdr>
        <w:top w:val="none" w:sz="0" w:space="0" w:color="auto"/>
        <w:left w:val="none" w:sz="0" w:space="0" w:color="auto"/>
        <w:bottom w:val="none" w:sz="0" w:space="0" w:color="auto"/>
        <w:right w:val="none" w:sz="0" w:space="0" w:color="auto"/>
      </w:divBdr>
    </w:div>
    <w:div w:id="7540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odone@cge.asso.f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eli.fr/oise/pharmacien/exercice-professionnel/delivrance-produits-sante/regles-delivrance-prise-charge/delivrances-exceptionnelles/dispensation-traitement-1-moi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A1989513E31745852AC9DE048BAC00" ma:contentTypeVersion="24" ma:contentTypeDescription="Crée un document." ma:contentTypeScope="" ma:versionID="f5f46b36cd4fb07c16b3dd075da52274">
  <xsd:schema xmlns:xsd="http://www.w3.org/2001/XMLSchema" xmlns:xs="http://www.w3.org/2001/XMLSchema" xmlns:p="http://schemas.microsoft.com/office/2006/metadata/properties" xmlns:ns2="64d9a1e0-d3ad-45f1-abf1-a4b83054b420" xmlns:ns3="1704be1f-3e56-42bf-a3d7-b930ab42a5d3" targetNamespace="http://schemas.microsoft.com/office/2006/metadata/properties" ma:root="true" ma:fieldsID="67707f06dd631ec599c0e136a086d648" ns2:_="" ns3:_="">
    <xsd:import namespace="64d9a1e0-d3ad-45f1-abf1-a4b83054b420"/>
    <xsd:import namespace="1704be1f-3e56-42bf-a3d7-b930ab42a5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Source" minOccurs="0"/>
                <xsd:element ref="ns2:Type_x0020_publication" minOccurs="0"/>
                <xsd:element ref="ns2:Ann_x00e9_e" minOccurs="0"/>
                <xsd:element ref="ns2:Date_x0020_de_x0020_publication" minOccurs="0"/>
                <xsd:element ref="ns2:Th_x00e8_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9a1e0-d3ad-45f1-abf1-a4b83054b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ource" ma:index="20" nillable="true" ma:displayName="Source" ma:format="Dropdown" ma:internalName="Source">
      <xsd:simpleType>
        <xsd:restriction base="dms:Choice">
          <xsd:enumeration value="Publications de la CGE"/>
          <xsd:enumeration value="Sources et références externes"/>
        </xsd:restriction>
      </xsd:simpleType>
    </xsd:element>
    <xsd:element name="Type_x0020_publication" ma:index="21" nillable="true" ma:displayName="Type publication" ma:format="Dropdown" ma:internalName="Type_x0020_publication">
      <xsd:simpleType>
        <xsd:restriction base="dms:Choice">
          <xsd:enumeration value="Actes de Congrès ou Séminaire"/>
          <xsd:enumeration value="Baromètre"/>
          <xsd:enumeration value="Charte"/>
          <xsd:enumeration value="Communiqué de presse"/>
          <xsd:enumeration value="Compte-rendu"/>
          <xsd:enumeration value="Dossier de presse"/>
          <xsd:enumeration value="Enquête"/>
          <xsd:enumeration value="Etude"/>
          <xsd:enumeration value="Fiche de lecture"/>
          <xsd:enumeration value="Fiche thématique"/>
          <xsd:enumeration value="Guide"/>
          <xsd:enumeration value="Livre blanc"/>
          <xsd:enumeration value="Loi, décret, arrêté, circulaire"/>
          <xsd:enumeration value="Newsletter &quot;Anti-idée reçue&quot;"/>
          <xsd:enumeration value="Note d'analyse"/>
          <xsd:enumeration value="Prise de position"/>
          <xsd:enumeration value="Rapport"/>
          <xsd:enumeration value="Rapport d'activité"/>
          <xsd:enumeration value="Recueil statistique"/>
          <xsd:enumeration value="Revue de presse"/>
          <xsd:enumeration value="Sondage"/>
        </xsd:restriction>
      </xsd:simpleType>
    </xsd:element>
    <xsd:element name="Ann_x00e9_e" ma:index="22" nillable="true" ma:displayName="Année" ma:format="Dropdown" ma:internalName="Ann_x00e9_e">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Date_x0020_de_x0020_publication" ma:index="23" nillable="true" ma:displayName="Date de publication" ma:format="DateOnly" ma:internalName="Date_x0020_de_x0020_publication">
      <xsd:simpleType>
        <xsd:restriction base="dms:DateTime"/>
      </xsd:simpleType>
    </xsd:element>
    <xsd:element name="Th_x00e8_me" ma:index="24" nillable="true" ma:displayName="Thème" ma:internalName="Th_x00e8_me">
      <xsd:complexType>
        <xsd:complexContent>
          <xsd:extension base="dms:MultiChoice">
            <xsd:sequence>
              <xsd:element name="Value" maxOccurs="unbounded" minOccurs="0" nillable="true">
                <xsd:simpleType>
                  <xsd:restriction base="dms:Choice">
                    <xsd:enumeration value="Accès à l'enseignement supérieur"/>
                    <xsd:enumeration value="Accessibilité des bâtiments"/>
                    <xsd:enumeration value="Accréditations"/>
                    <xsd:enumeration value="Accréditations internationales"/>
                    <xsd:enumeration value="Accueil des étudiants"/>
                    <xsd:enumeration value="Alumni"/>
                    <xsd:enumeration value="APB"/>
                    <xsd:enumeration value="Apprentissage"/>
                    <xsd:enumeration value="Assises de l'ESR 2012"/>
                    <xsd:enumeration value="Attractivité internationale"/>
                    <xsd:enumeration value="Bourses"/>
                    <xsd:enumeration value="Bourses d'établissement"/>
                    <xsd:enumeration value="Brevêt"/>
                    <xsd:enumeration value="Campus internationaux"/>
                    <xsd:enumeration value="Carrière"/>
                    <xsd:enumeration value="CES Las Vegas"/>
                    <xsd:enumeration value="Césure"/>
                    <xsd:enumeration value="CGE"/>
                    <xsd:enumeration value="Classement"/>
                    <xsd:enumeration value="Cohésion sociale"/>
                    <xsd:enumeration value="Compétences"/>
                    <xsd:enumeration value="Compétitivité"/>
                    <xsd:enumeration value="ComUE"/>
                    <xsd:enumeration value="Concours"/>
                    <xsd:enumeration value="Conditions de vie"/>
                    <xsd:enumeration value="Cordées de la réussite"/>
                    <xsd:enumeration value="Coût de la formation"/>
                    <xsd:enumeration value="CPGE"/>
                    <xsd:enumeration value="Création de valeur"/>
                    <xsd:enumeration value="Crise économique"/>
                    <xsd:enumeration value="Croissance économique"/>
                    <xsd:enumeration value="Crowfunding"/>
                    <xsd:enumeration value="Décrochage scolaire"/>
                    <xsd:enumeration value="Démographie étudiante"/>
                    <xsd:enumeration value="Dépense d'éducation"/>
                    <xsd:enumeration value="Développement Durable"/>
                    <xsd:enumeration value="Diversité"/>
                    <xsd:enumeration value="Doctorat"/>
                    <xsd:enumeration value="Droit d'auteur"/>
                    <xsd:enumeration value="Droits d'inscription"/>
                    <xsd:enumeration value="Echelle sociale"/>
                    <xsd:enumeration value="Eco-campus"/>
                    <xsd:enumeration value="Ecoles d'autres spécialités"/>
                    <xsd:enumeration value="Ecoles d'ingénieur"/>
                    <xsd:enumeration value="Ecoles de Management"/>
                    <xsd:enumeration value="Economie"/>
                    <xsd:enumeration value="Education"/>
                    <xsd:enumeration value="Education - aspect économique"/>
                    <xsd:enumeration value="Effectifs étudiants"/>
                    <xsd:enumeration value="Efficience"/>
                    <xsd:enumeration value="Egalité"/>
                    <xsd:enumeration value="Egalité professionnelle"/>
                    <xsd:enumeration value="Election présidentielle"/>
                    <xsd:enumeration value="Elèves en difficulté"/>
                    <xsd:enumeration value="Emploi"/>
                    <xsd:enumeration value="Encadrement des stages"/>
                    <xsd:enumeration value="Enseignement numérique"/>
                    <xsd:enumeration value="Enseignement primaire et secondaire"/>
                    <xsd:enumeration value="Enseignement secondaire"/>
                    <xsd:enumeration value="Enseignement supérieur"/>
                    <xsd:enumeration value="Enseignement Supérieur et Recherche (Etats-Unis)"/>
                    <xsd:enumeration value="Enseignement Supérieur et Recherche (France)"/>
                    <xsd:enumeration value="Enseignement Supérieur et Recherche (Monde)"/>
                    <xsd:enumeration value="Entrepreneuriat"/>
                    <xsd:enumeration value="Entreprise"/>
                    <xsd:enumeration value="Equité sociale"/>
                    <xsd:enumeration value="Etablissements d'enseignement supérieur"/>
                    <xsd:enumeration value="Ethique"/>
                    <xsd:enumeration value="Etudiants étrangers"/>
                    <xsd:enumeration value="Europe"/>
                    <xsd:enumeration value="Evaluation"/>
                    <xsd:enumeration value="Femmes"/>
                    <xsd:enumeration value="Filière CPGE/GE"/>
                    <xsd:enumeration value="Filières d'enseignement"/>
                    <xsd:enumeration value="Financement"/>
                    <xsd:enumeration value="Financement des études"/>
                    <xsd:enumeration value="Finances publiques"/>
                    <xsd:enumeration value="Flux de diplômés"/>
                    <xsd:enumeration value="Fonds de roulement"/>
                    <xsd:enumeration value="Formation"/>
                    <xsd:enumeration value="Formation à distance"/>
                    <xsd:enumeration value="Formation complémentaire"/>
                    <xsd:enumeration value="Formation continue"/>
                    <xsd:enumeration value="Formation des enseignants"/>
                    <xsd:enumeration value="Formation doctorale"/>
                    <xsd:enumeration value="Formation initiale"/>
                    <xsd:enumeration value="Formations courtes"/>
                    <xsd:enumeration value="Fracture sanitaire"/>
                    <xsd:enumeration value="France"/>
                    <xsd:enumeration value="Fuite des cerveaux"/>
                    <xsd:enumeration value="Fundraising"/>
                    <xsd:enumeration value="Gestion de crise"/>
                    <xsd:enumeration value="Gouvernance"/>
                    <xsd:enumeration value="Grade master"/>
                    <xsd:enumeration value="Grandes écoles"/>
                    <xsd:enumeration value="Habilitations"/>
                    <xsd:enumeration value="Handicap"/>
                    <xsd:enumeration value="Hommes"/>
                    <xsd:enumeration value="Ile-de-France"/>
                    <xsd:enumeration value="Impact économique"/>
                    <xsd:enumeration value="Impact social"/>
                    <xsd:enumeration value="Impact territorial"/>
                    <xsd:enumeration value="Incubateur d'entreprise"/>
                    <xsd:enumeration value="Inégalités sociales"/>
                    <xsd:enumeration value="Innovation"/>
                    <xsd:enumeration value="Insertion"/>
                    <xsd:enumeration value="Intelligence artificielle"/>
                    <xsd:enumeration value="Internationalisation"/>
                    <xsd:enumeration value="Jeunesse"/>
                    <xsd:enumeration value="Loi ESR"/>
                    <xsd:enumeration value="Lycée"/>
                    <xsd:enumeration value="Lycée - Voie professionnelle"/>
                    <xsd:enumeration value="Migrations internationales"/>
                    <xsd:enumeration value="Mobilité internationale"/>
                    <xsd:enumeration value="Mobilité sociale"/>
                    <xsd:enumeration value="Modèle Grande école"/>
                    <xsd:enumeration value="Mondialisation"/>
                    <xsd:enumeration value="MS"/>
                    <xsd:enumeration value="Mutation de la société"/>
                    <xsd:enumeration value="Niveau de diplôme"/>
                    <xsd:enumeration value="Niveau de vie"/>
                    <xsd:enumeration value="Offre de formation"/>
                    <xsd:enumeration value="Open Access"/>
                    <xsd:enumeration value="Open labs"/>
                    <xsd:enumeration value="Orientation"/>
                    <xsd:enumeration value="Ouverture sociale"/>
                    <xsd:enumeration value="Parité"/>
                    <xsd:enumeration value="Pédagogie"/>
                    <xsd:enumeration value="PEPITE"/>
                    <xsd:enumeration value="PISA"/>
                    <xsd:enumeration value="Politique de l'éducation"/>
                    <xsd:enumeration value="Politique extérieure"/>
                    <xsd:enumeration value="Politique sociale"/>
                    <xsd:enumeration value="Poursuite d'études"/>
                    <xsd:enumeration value="Précarité"/>
                    <xsd:enumeration value="Premier cycle"/>
                    <xsd:enumeration value="Premier cycle (réussite)"/>
                    <xsd:enumeration value="PRES"/>
                    <xsd:enumeration value="Prévention des risques"/>
                    <xsd:enumeration value="Principe de précaution"/>
                    <xsd:enumeration value="Projet européen"/>
                    <xsd:enumeration value="Projet Voltaire"/>
                    <xsd:enumeration value="Propriété intellectuelle"/>
                    <xsd:enumeration value="Prospective"/>
                    <xsd:enumeration value="Publications scientifiques"/>
                    <xsd:enumeration value="Qualité"/>
                    <xsd:enumeration value="Recherche"/>
                    <xsd:enumeration value="Recrutement"/>
                    <xsd:enumeration value="Réforme des programmes"/>
                    <xsd:enumeration value="Regroupements de site"/>
                    <xsd:enumeration value="Réindustrialisation"/>
                    <xsd:enumeration value="Relations internationales"/>
                    <xsd:enumeration value="Responsabilité globale"/>
                    <xsd:enumeration value="Résultats scolaires"/>
                    <xsd:enumeration value="RNCP"/>
                    <xsd:enumeration value="RSE"/>
                    <xsd:enumeration value="Santé"/>
                    <xsd:enumeration value="Simplification"/>
                    <xsd:enumeration value="Situation et conditions économiques générales"/>
                    <xsd:enumeration value="Société de la connaissance"/>
                    <xsd:enumeration value="Stages"/>
                    <xsd:enumeration value="Statistiques générales"/>
                    <xsd:enumeration value="StraNES"/>
                    <xsd:enumeration value="Structure d'engagement (association, syndicat, parti politique)"/>
                    <xsd:enumeration value="Suivi sanitaire"/>
                    <xsd:enumeration value="Système économique"/>
                    <xsd:enumeration value="Système éducatif"/>
                    <xsd:enumeration value="Taux de chômage"/>
                    <xsd:enumeration value="Taxe d'apprentissage"/>
                    <xsd:enumeration value="Tourisme médical"/>
                    <xsd:enumeration value="Travail"/>
                    <xsd:enumeration value="Union européenne"/>
                    <xsd:enumeration value="Université"/>
                    <xsd:enumeration value="Voies d'accès"/>
                    <xsd:enumeration value="Voies parallèles"/>
                  </xsd:restriction>
                </xsd:simpleType>
              </xsd:element>
            </xsd:sequence>
          </xsd:extension>
        </xsd:complexContent>
      </xsd:complex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0b03197a-6a33-49ee-bac2-77091bab2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04be1f-3e56-42bf-a3d7-b930ab42a5d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8" nillable="true" ma:displayName="Taxonomy Catch All Column" ma:hidden="true" ma:list="{1969edea-3b51-4dfe-972a-34ac3e216491}" ma:internalName="TaxCatchAll" ma:showField="CatchAllData" ma:web="1704be1f-3e56-42bf-a3d7-b930ab42a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nn_x00e9_e xmlns="64d9a1e0-d3ad-45f1-abf1-a4b83054b420" xsi:nil="true"/>
    <Date_x0020_de_x0020_publication xmlns="64d9a1e0-d3ad-45f1-abf1-a4b83054b420" xsi:nil="true"/>
    <Th_x00e8_me xmlns="64d9a1e0-d3ad-45f1-abf1-a4b83054b420" xsi:nil="true"/>
    <Source xmlns="64d9a1e0-d3ad-45f1-abf1-a4b83054b420" xsi:nil="true"/>
    <Type_x0020_publication xmlns="64d9a1e0-d3ad-45f1-abf1-a4b83054b420" xsi:nil="true"/>
    <lcf76f155ced4ddcb4097134ff3c332f xmlns="64d9a1e0-d3ad-45f1-abf1-a4b83054b420">
      <Terms xmlns="http://schemas.microsoft.com/office/infopath/2007/PartnerControls"/>
    </lcf76f155ced4ddcb4097134ff3c332f>
    <TaxCatchAll xmlns="1704be1f-3e56-42bf-a3d7-b930ab42a5d3" xsi:nil="true"/>
  </documentManagement>
</p:properties>
</file>

<file path=customXml/itemProps1.xml><?xml version="1.0" encoding="utf-8"?>
<ds:datastoreItem xmlns:ds="http://schemas.openxmlformats.org/officeDocument/2006/customXml" ds:itemID="{1B6CBB6C-E8EB-47D4-8A71-25DE94426835}">
  <ds:schemaRefs>
    <ds:schemaRef ds:uri="http://schemas.openxmlformats.org/officeDocument/2006/bibliography"/>
  </ds:schemaRefs>
</ds:datastoreItem>
</file>

<file path=customXml/itemProps2.xml><?xml version="1.0" encoding="utf-8"?>
<ds:datastoreItem xmlns:ds="http://schemas.openxmlformats.org/officeDocument/2006/customXml" ds:itemID="{3EA2E6B9-2DEB-4E99-A44E-ACDCE75364D9}"/>
</file>

<file path=customXml/itemProps3.xml><?xml version="1.0" encoding="utf-8"?>
<ds:datastoreItem xmlns:ds="http://schemas.openxmlformats.org/officeDocument/2006/customXml" ds:itemID="{F7A73EEE-E289-42EF-9CB0-3AFC75BD887A}"/>
</file>

<file path=customXml/itemProps4.xml><?xml version="1.0" encoding="utf-8"?>
<ds:datastoreItem xmlns:ds="http://schemas.openxmlformats.org/officeDocument/2006/customXml" ds:itemID="{CB39ABB9-6D7E-4FF8-A4B5-05E0F4DD600B}"/>
</file>

<file path=docProps/app.xml><?xml version="1.0" encoding="utf-8"?>
<Properties xmlns="http://schemas.openxmlformats.org/officeDocument/2006/extended-properties" xmlns:vt="http://schemas.openxmlformats.org/officeDocument/2006/docPropsVTypes">
  <Template>Normal</Template>
  <TotalTime>7</TotalTime>
  <Pages>11</Pages>
  <Words>3270</Words>
  <Characters>17985</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Odone</dc:creator>
  <cp:keywords/>
  <dc:description/>
  <cp:lastModifiedBy>Sophie Odone</cp:lastModifiedBy>
  <cp:revision>5</cp:revision>
  <dcterms:created xsi:type="dcterms:W3CDTF">2026-01-20T09:41:00Z</dcterms:created>
  <dcterms:modified xsi:type="dcterms:W3CDTF">2026-01-20T10:22:00Z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0x010100A2A1989513E31745852AC9DE048BAC00</vt:lpwstr>
  </property>
</Properties>
</file>