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4EA06" w14:textId="77777777" w:rsidR="00674457" w:rsidRDefault="00000000">
      <w:pPr>
        <w:ind w:left="1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251384" wp14:editId="676A8A24">
            <wp:extent cx="1924500" cy="6317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500" cy="63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2E34A" w14:textId="77777777" w:rsidR="00674457" w:rsidRDefault="00000000">
      <w:pPr>
        <w:spacing w:before="14"/>
        <w:ind w:right="168"/>
        <w:jc w:val="right"/>
        <w:rPr>
          <w:rFonts w:ascii="Arial" w:hAnsi="Arial"/>
          <w:b/>
        </w:rPr>
      </w:pPr>
      <w:r>
        <w:rPr>
          <w:rFonts w:ascii="Arial" w:hAnsi="Arial"/>
          <w:b/>
          <w:color w:val="00005C"/>
        </w:rPr>
        <w:t>Communiqué</w:t>
      </w:r>
      <w:r>
        <w:rPr>
          <w:rFonts w:ascii="Times New Roman" w:hAnsi="Times New Roman"/>
          <w:color w:val="00005C"/>
          <w:spacing w:val="3"/>
        </w:rPr>
        <w:t xml:space="preserve"> </w:t>
      </w:r>
      <w:r>
        <w:rPr>
          <w:rFonts w:ascii="Arial" w:hAnsi="Arial"/>
          <w:b/>
          <w:color w:val="00005C"/>
        </w:rPr>
        <w:t>de</w:t>
      </w:r>
      <w:r>
        <w:rPr>
          <w:rFonts w:ascii="Times New Roman" w:hAnsi="Times New Roman"/>
          <w:color w:val="00005C"/>
          <w:spacing w:val="4"/>
        </w:rPr>
        <w:t xml:space="preserve"> </w:t>
      </w:r>
      <w:r>
        <w:rPr>
          <w:rFonts w:ascii="Arial" w:hAnsi="Arial"/>
          <w:b/>
          <w:color w:val="00005C"/>
          <w:spacing w:val="-2"/>
        </w:rPr>
        <w:t>presse</w:t>
      </w:r>
    </w:p>
    <w:p w14:paraId="11E65225" w14:textId="7B64E4CD" w:rsidR="00674457" w:rsidRDefault="00000000">
      <w:pPr>
        <w:pStyle w:val="Corpsdetexte"/>
        <w:spacing w:before="2"/>
        <w:ind w:right="166"/>
        <w:jc w:val="right"/>
      </w:pPr>
      <w:r>
        <w:t>Paris,</w:t>
      </w:r>
      <w:r>
        <w:rPr>
          <w:rFonts w:ascii="Times New Roman"/>
          <w:spacing w:val="2"/>
        </w:rPr>
        <w:t xml:space="preserve"> </w:t>
      </w:r>
      <w:r>
        <w:t>le</w:t>
      </w:r>
      <w:r>
        <w:rPr>
          <w:rFonts w:ascii="Times New Roman"/>
          <w:spacing w:val="8"/>
        </w:rPr>
        <w:t xml:space="preserve"> </w:t>
      </w:r>
      <w:r w:rsidR="00D63600">
        <w:t>17</w:t>
      </w:r>
      <w:r>
        <w:rPr>
          <w:rFonts w:ascii="Times New Roman"/>
          <w:spacing w:val="6"/>
        </w:rPr>
        <w:t xml:space="preserve"> </w:t>
      </w:r>
      <w:r>
        <w:t>juin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202</w:t>
      </w:r>
      <w:r w:rsidR="006A044E">
        <w:rPr>
          <w:spacing w:val="-4"/>
        </w:rPr>
        <w:t>6</w:t>
      </w:r>
    </w:p>
    <w:p w14:paraId="4BEA1B20" w14:textId="77777777" w:rsidR="00674457" w:rsidRDefault="00000000" w:rsidP="00D63600">
      <w:pPr>
        <w:pStyle w:val="Corpsdetexte"/>
        <w:spacing w:befor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426316" wp14:editId="76E0454A">
                <wp:simplePos x="0" y="0"/>
                <wp:positionH relativeFrom="page">
                  <wp:posOffset>584517</wp:posOffset>
                </wp:positionH>
                <wp:positionV relativeFrom="paragraph">
                  <wp:posOffset>202020</wp:posOffset>
                </wp:positionV>
                <wp:extent cx="6393815" cy="7467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3815" cy="746760"/>
                        </a:xfrm>
                        <a:prstGeom prst="rect">
                          <a:avLst/>
                        </a:prstGeom>
                        <a:solidFill>
                          <a:srgbClr val="00005C"/>
                        </a:solidFill>
                      </wps:spPr>
                      <wps:txbx>
                        <w:txbxContent>
                          <w:p w14:paraId="406D5126" w14:textId="77777777" w:rsidR="006A044E" w:rsidRDefault="006A044E" w:rsidP="006A044E">
                            <w:pPr>
                              <w:spacing w:line="321" w:lineRule="exact"/>
                              <w:ind w:right="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E300"/>
                                <w:sz w:val="28"/>
                              </w:rPr>
                            </w:pPr>
                          </w:p>
                          <w:p w14:paraId="125DB237" w14:textId="77777777" w:rsidR="00D63600" w:rsidRPr="00092215" w:rsidRDefault="00D63600" w:rsidP="00D63600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22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Entrepreneuriat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innovation &amp;</w:t>
                            </w:r>
                            <w:r w:rsidRPr="000922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 w:rsidRPr="000922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randes écoles</w:t>
                            </w:r>
                          </w:p>
                          <w:p w14:paraId="6F6B5B3E" w14:textId="49FDA6CB" w:rsidR="00674457" w:rsidRDefault="00674457" w:rsidP="006A044E">
                            <w:pPr>
                              <w:spacing w:line="321" w:lineRule="exact"/>
                              <w:ind w:right="4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263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6pt;margin-top:15.9pt;width:503.45pt;height:58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" fillcolor="#00005c" stroked="f">
                <v:textbox inset="0,0,0,0">
                  <w:txbxContent>
                    <w:p w14:paraId="406D5126" w14:textId="77777777" w:rsidR="006A044E" w:rsidRDefault="006A044E" w:rsidP="006A044E">
                      <w:pPr>
                        <w:spacing w:line="321" w:lineRule="exact"/>
                        <w:ind w:right="4"/>
                        <w:jc w:val="center"/>
                        <w:rPr>
                          <w:rFonts w:ascii="Arial" w:hAnsi="Arial"/>
                          <w:b/>
                          <w:bCs/>
                          <w:color w:val="FFE300"/>
                          <w:sz w:val="28"/>
                        </w:rPr>
                      </w:pPr>
                    </w:p>
                    <w:p w14:paraId="125DB237" w14:textId="77777777" w:rsidR="00D63600" w:rsidRPr="00092215" w:rsidRDefault="00D63600" w:rsidP="00D63600">
                      <w:pPr>
                        <w:shd w:val="clear" w:color="auto" w:fill="00206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92215">
                        <w:rPr>
                          <w:b/>
                          <w:bCs/>
                          <w:sz w:val="32"/>
                          <w:szCs w:val="32"/>
                        </w:rPr>
                        <w:t>Entrepreneuriat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, innovation &amp;</w:t>
                      </w:r>
                      <w:r w:rsidRPr="0009221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 w:rsidRPr="00092215">
                        <w:rPr>
                          <w:b/>
                          <w:bCs/>
                          <w:sz w:val="32"/>
                          <w:szCs w:val="32"/>
                        </w:rPr>
                        <w:t>randes écoles</w:t>
                      </w:r>
                    </w:p>
                    <w:p w14:paraId="6F6B5B3E" w14:textId="49FDA6CB" w:rsidR="00674457" w:rsidRDefault="00674457" w:rsidP="006A044E">
                      <w:pPr>
                        <w:spacing w:line="321" w:lineRule="exact"/>
                        <w:ind w:right="4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1F719D" w14:textId="77777777" w:rsidR="00674457" w:rsidRDefault="00674457" w:rsidP="00D63600">
      <w:pPr>
        <w:pStyle w:val="Corpsdetexte"/>
        <w:spacing w:before="0"/>
      </w:pPr>
    </w:p>
    <w:p w14:paraId="00EE94E9" w14:textId="302EB1A3" w:rsidR="00D63600" w:rsidRDefault="00D63600" w:rsidP="00D63600">
      <w:pPr>
        <w:jc w:val="both"/>
      </w:pPr>
      <w:r w:rsidRPr="003A6B86">
        <w:t xml:space="preserve">Alors que </w:t>
      </w:r>
      <w:r>
        <w:t>la quasi-totalité</w:t>
      </w:r>
      <w:r w:rsidRPr="003A6B86">
        <w:t xml:space="preserve"> des licornes françaises ont été fondées </w:t>
      </w:r>
      <w:r>
        <w:t>ou</w:t>
      </w:r>
      <w:r w:rsidRPr="003A6B86">
        <w:t xml:space="preserve"> sont dirigées par des </w:t>
      </w:r>
      <w:proofErr w:type="spellStart"/>
      <w:r w:rsidRPr="003A6B86">
        <w:t>alumni d</w:t>
      </w:r>
      <w:r>
        <w:t>e</w:t>
      </w:r>
      <w:proofErr w:type="spellEnd"/>
      <w:r w:rsidRPr="003A6B86">
        <w:t xml:space="preserve"> </w:t>
      </w:r>
      <w:r>
        <w:t>G</w:t>
      </w:r>
      <w:r w:rsidRPr="003A6B86">
        <w:t>rande</w:t>
      </w:r>
      <w:r>
        <w:t>s</w:t>
      </w:r>
      <w:r w:rsidRPr="003A6B86">
        <w:t xml:space="preserve"> école</w:t>
      </w:r>
      <w:r>
        <w:t>s</w:t>
      </w:r>
      <w:r w:rsidRPr="003A6B86">
        <w:t xml:space="preserve">, et </w:t>
      </w:r>
      <w:r>
        <w:t xml:space="preserve">tandis que </w:t>
      </w:r>
      <w:r w:rsidRPr="003A6B86">
        <w:t xml:space="preserve">Paris </w:t>
      </w:r>
      <w:r>
        <w:t xml:space="preserve">accueille </w:t>
      </w:r>
      <w:proofErr w:type="spellStart"/>
      <w:r w:rsidRPr="003A6B86">
        <w:t>VivaTech</w:t>
      </w:r>
      <w:proofErr w:type="spellEnd"/>
      <w:r>
        <w:t>,</w:t>
      </w:r>
      <w:r w:rsidRPr="003A6B86">
        <w:t xml:space="preserve"> grand </w:t>
      </w:r>
      <w:r>
        <w:t xml:space="preserve">rendez-vous </w:t>
      </w:r>
      <w:r w:rsidRPr="003A6B86">
        <w:t xml:space="preserve">international </w:t>
      </w:r>
      <w:r>
        <w:t xml:space="preserve">de </w:t>
      </w:r>
      <w:r w:rsidRPr="003A6B86">
        <w:t xml:space="preserve">l’innovation, la Conférence des grandes écoles souhaite rappeler le lien </w:t>
      </w:r>
      <w:r>
        <w:t xml:space="preserve">étroit qui </w:t>
      </w:r>
      <w:r w:rsidRPr="003A6B86">
        <w:t xml:space="preserve">unit les </w:t>
      </w:r>
      <w:r>
        <w:t>G</w:t>
      </w:r>
      <w:r w:rsidRPr="003A6B86">
        <w:t xml:space="preserve">randes écoles, l’entrepreneuriat et l’innovation. </w:t>
      </w:r>
    </w:p>
    <w:p w14:paraId="7A55FC55" w14:textId="77777777" w:rsidR="00D63600" w:rsidRPr="003A6B86" w:rsidRDefault="00D63600" w:rsidP="00D63600">
      <w:pPr>
        <w:jc w:val="both"/>
      </w:pPr>
    </w:p>
    <w:p w14:paraId="5BD369E9" w14:textId="77777777" w:rsidR="00D63600" w:rsidRDefault="00D63600" w:rsidP="00D63600">
      <w:pPr>
        <w:jc w:val="both"/>
      </w:pPr>
      <w:r w:rsidRPr="003A6B86">
        <w:t xml:space="preserve">Les </w:t>
      </w:r>
      <w:r>
        <w:t xml:space="preserve">écoles de la CGE </w:t>
      </w:r>
      <w:r w:rsidRPr="003A6B86">
        <w:t xml:space="preserve">insufflent </w:t>
      </w:r>
      <w:r>
        <w:t>à leurs étudiants</w:t>
      </w:r>
      <w:r w:rsidRPr="003A6B86">
        <w:t xml:space="preserve"> l’esprit d’entreprendre</w:t>
      </w:r>
      <w:r>
        <w:t>, en les formant et en incubant leurs projets. Elles s’</w:t>
      </w:r>
      <w:r w:rsidRPr="003A6B86">
        <w:t>appui</w:t>
      </w:r>
      <w:r>
        <w:t>ent pour cela</w:t>
      </w:r>
      <w:r w:rsidRPr="003A6B86">
        <w:t xml:space="preserve"> </w:t>
      </w:r>
      <w:r>
        <w:t xml:space="preserve">sur </w:t>
      </w:r>
      <w:r w:rsidRPr="003A6B86">
        <w:t xml:space="preserve">leurs enseignants-chercheurs, leurs personnels, </w:t>
      </w:r>
      <w:r>
        <w:t xml:space="preserve">et </w:t>
      </w:r>
      <w:r w:rsidRPr="003A6B86">
        <w:t xml:space="preserve">leurs </w:t>
      </w:r>
      <w:proofErr w:type="spellStart"/>
      <w:r w:rsidRPr="003A6B86">
        <w:t>alumni</w:t>
      </w:r>
      <w:proofErr w:type="spellEnd"/>
      <w:r w:rsidRPr="003A6B86">
        <w:t xml:space="preserve">, et </w:t>
      </w:r>
      <w:r>
        <w:t xml:space="preserve">travaillent </w:t>
      </w:r>
      <w:r w:rsidRPr="003A6B86">
        <w:t>en lien constant avec les</w:t>
      </w:r>
      <w:r>
        <w:t xml:space="preserve"> entreprises et les</w:t>
      </w:r>
      <w:r w:rsidRPr="003A6B86">
        <w:t xml:space="preserve"> acteurs locaux, régionaux et nationaux de l’entrepreneuriat</w:t>
      </w:r>
      <w:r>
        <w:t xml:space="preserve">, ainsi que </w:t>
      </w:r>
      <w:r w:rsidRPr="003A6B86">
        <w:t xml:space="preserve">les autres institutions de l’enseignement supérieur, de la recherche et de la valorisation, dans une logique d’écosystème. </w:t>
      </w:r>
    </w:p>
    <w:p w14:paraId="50B62B95" w14:textId="77777777" w:rsidR="00D63600" w:rsidRPr="003A6B86" w:rsidRDefault="00D63600" w:rsidP="00D63600">
      <w:pPr>
        <w:jc w:val="both"/>
      </w:pPr>
    </w:p>
    <w:p w14:paraId="5893037C" w14:textId="77777777" w:rsidR="00D63600" w:rsidRDefault="00D63600" w:rsidP="00D63600">
      <w:pPr>
        <w:jc w:val="both"/>
      </w:pPr>
      <w:r w:rsidRPr="003A6B86">
        <w:t>Une enquête réalisée au début de l’année</w:t>
      </w:r>
      <w:r>
        <w:t> </w:t>
      </w:r>
      <w:r w:rsidRPr="003A6B86">
        <w:t>2026, dont les résultats seront officiellement publiés à l’automne</w:t>
      </w:r>
      <w:r>
        <w:t>,</w:t>
      </w:r>
      <w:r w:rsidRPr="003A6B86">
        <w:t xml:space="preserve"> établit ainsi que : </w:t>
      </w:r>
    </w:p>
    <w:p w14:paraId="20F83D12" w14:textId="77777777" w:rsidR="00D63600" w:rsidRPr="003A6B86" w:rsidRDefault="00D63600" w:rsidP="00D63600">
      <w:pPr>
        <w:jc w:val="both"/>
      </w:pPr>
    </w:p>
    <w:p w14:paraId="1AF98A4F" w14:textId="77777777" w:rsidR="00D63600" w:rsidRDefault="00D63600" w:rsidP="00D63600">
      <w:pPr>
        <w:pStyle w:val="Paragraphedeliste"/>
        <w:widowControl/>
        <w:numPr>
          <w:ilvl w:val="0"/>
          <w:numId w:val="1"/>
        </w:numPr>
        <w:autoSpaceDE/>
        <w:autoSpaceDN/>
        <w:spacing w:line="278" w:lineRule="auto"/>
        <w:contextualSpacing/>
        <w:jc w:val="both"/>
      </w:pPr>
      <w:r w:rsidRPr="003A6B86">
        <w:t>94</w:t>
      </w:r>
      <w:r>
        <w:t> </w:t>
      </w:r>
      <w:r w:rsidRPr="003A6B86">
        <w:t xml:space="preserve">% des </w:t>
      </w:r>
      <w:r>
        <w:t>G</w:t>
      </w:r>
      <w:r w:rsidRPr="003A6B86">
        <w:t>randes écoles, de toutes catégories (ingénieurs, management, spécialité) sensibilisent leurs étudiants à l’enjeu de l’entrepreneuriat</w:t>
      </w:r>
      <w:r>
        <w:t> </w:t>
      </w:r>
      <w:r w:rsidRPr="003A6B86">
        <w:t>;</w:t>
      </w:r>
    </w:p>
    <w:p w14:paraId="65FF0400" w14:textId="77777777" w:rsidR="00D63600" w:rsidRPr="003A6B86" w:rsidRDefault="00D63600" w:rsidP="00D63600">
      <w:pPr>
        <w:pStyle w:val="Paragraphedeliste"/>
        <w:widowControl/>
        <w:autoSpaceDE/>
        <w:autoSpaceDN/>
        <w:spacing w:line="278" w:lineRule="auto"/>
        <w:ind w:left="720"/>
        <w:contextualSpacing/>
        <w:jc w:val="both"/>
      </w:pPr>
    </w:p>
    <w:p w14:paraId="78949443" w14:textId="4D14F5CA" w:rsidR="00D63600" w:rsidRDefault="00D63600" w:rsidP="00D63600">
      <w:pPr>
        <w:pStyle w:val="Paragraphedeliste"/>
        <w:widowControl/>
        <w:numPr>
          <w:ilvl w:val="0"/>
          <w:numId w:val="1"/>
        </w:numPr>
        <w:autoSpaceDE/>
        <w:autoSpaceDN/>
        <w:spacing w:line="278" w:lineRule="auto"/>
        <w:contextualSpacing/>
        <w:jc w:val="both"/>
      </w:pPr>
      <w:r w:rsidRPr="003A6B86">
        <w:t>74</w:t>
      </w:r>
      <w:r>
        <w:t> </w:t>
      </w:r>
      <w:r w:rsidRPr="003A6B86">
        <w:t xml:space="preserve">% des </w:t>
      </w:r>
      <w:r>
        <w:t>G</w:t>
      </w:r>
      <w:r w:rsidRPr="003A6B86">
        <w:t>randes écoles proposent des formations à l’entrepreneuriat</w:t>
      </w:r>
      <w:r>
        <w:t> </w:t>
      </w:r>
      <w:r w:rsidRPr="003A6B86">
        <w:t>;</w:t>
      </w:r>
    </w:p>
    <w:p w14:paraId="2C3B7F06" w14:textId="77777777" w:rsidR="00D63600" w:rsidRDefault="00D63600" w:rsidP="00D63600">
      <w:pPr>
        <w:widowControl/>
        <w:autoSpaceDE/>
        <w:autoSpaceDN/>
        <w:spacing w:line="278" w:lineRule="auto"/>
        <w:contextualSpacing/>
        <w:jc w:val="both"/>
      </w:pPr>
    </w:p>
    <w:p w14:paraId="792EAAA6" w14:textId="77777777" w:rsidR="00D63600" w:rsidRDefault="00D63600" w:rsidP="00D63600">
      <w:pPr>
        <w:pStyle w:val="Paragraphedeliste"/>
        <w:widowControl/>
        <w:numPr>
          <w:ilvl w:val="0"/>
          <w:numId w:val="1"/>
        </w:numPr>
        <w:autoSpaceDE/>
        <w:autoSpaceDN/>
        <w:spacing w:line="278" w:lineRule="auto"/>
        <w:contextualSpacing/>
        <w:jc w:val="both"/>
      </w:pPr>
      <w:r w:rsidRPr="00E32BFE">
        <w:t>71</w:t>
      </w:r>
      <w:r>
        <w:t> </w:t>
      </w:r>
      <w:r w:rsidRPr="00E32BFE">
        <w:t xml:space="preserve">% des </w:t>
      </w:r>
      <w:r>
        <w:t>G</w:t>
      </w:r>
      <w:r w:rsidRPr="00E32BFE">
        <w:t>randes écoles disposent d’un incubateur, en propre ou partagé</w:t>
      </w:r>
      <w:r>
        <w:t xml:space="preserve"> — </w:t>
      </w:r>
      <w:r w:rsidRPr="00E32BFE">
        <w:t>contre 56</w:t>
      </w:r>
      <w:r>
        <w:t> </w:t>
      </w:r>
      <w:r w:rsidRPr="00E32BFE">
        <w:t>% en 2018</w:t>
      </w:r>
      <w:r>
        <w:t xml:space="preserve"> —</w:t>
      </w:r>
      <w:r w:rsidRPr="00E32BFE">
        <w:t xml:space="preserve"> et près de la moitié de ces incubateurs ont une coloration technologique</w:t>
      </w:r>
      <w:r>
        <w:t>.</w:t>
      </w:r>
    </w:p>
    <w:p w14:paraId="45B9D9A0" w14:textId="77777777" w:rsidR="00D63600" w:rsidRDefault="00D63600" w:rsidP="00D63600">
      <w:pPr>
        <w:pStyle w:val="Paragraphedeliste"/>
      </w:pPr>
    </w:p>
    <w:p w14:paraId="176CD87C" w14:textId="77777777" w:rsidR="00D63600" w:rsidRPr="00E32BFE" w:rsidRDefault="00D63600" w:rsidP="00D63600">
      <w:pPr>
        <w:widowControl/>
        <w:autoSpaceDE/>
        <w:autoSpaceDN/>
        <w:spacing w:line="278" w:lineRule="auto"/>
        <w:contextualSpacing/>
        <w:jc w:val="both"/>
      </w:pPr>
    </w:p>
    <w:p w14:paraId="0E55AD00" w14:textId="77777777" w:rsidR="00D63600" w:rsidRPr="003A6B86" w:rsidRDefault="00D63600" w:rsidP="00D63600">
      <w:pPr>
        <w:ind w:left="175"/>
        <w:jc w:val="both"/>
      </w:pPr>
      <w:r>
        <w:t>Au cours de la dernière décennie, les Grandes écoles ont fortement développé une culture de l’innovation, répondant à la fois aux aspirations entrepreneuriales des étudiants et aux besoins de l’économie. Cette dynamique est aujourd’hui incontestable, et l’environnement qui l’a rendue possible doit être préservé.</w:t>
      </w:r>
    </w:p>
    <w:p w14:paraId="0F3ABE6C" w14:textId="3D2E8070" w:rsidR="00674457" w:rsidRDefault="00674457" w:rsidP="006A044E">
      <w:pPr>
        <w:ind w:left="175" w:right="179"/>
        <w:jc w:val="both"/>
      </w:pPr>
    </w:p>
    <w:p w14:paraId="5BA7E69C" w14:textId="77777777" w:rsidR="00674457" w:rsidRDefault="00000000">
      <w:pPr>
        <w:spacing w:line="206" w:lineRule="exact"/>
        <w:ind w:left="175"/>
        <w:rPr>
          <w:rFonts w:ascii="Arial" w:hAnsi="Arial"/>
          <w:b/>
          <w:sz w:val="18"/>
        </w:rPr>
      </w:pPr>
      <w:r>
        <w:rPr>
          <w:rFonts w:ascii="Arial" w:hAnsi="Arial"/>
          <w:b/>
          <w:color w:val="00005C"/>
          <w:sz w:val="18"/>
        </w:rPr>
        <w:t>À</w:t>
      </w:r>
      <w:r>
        <w:rPr>
          <w:rFonts w:ascii="Times New Roman" w:hAnsi="Times New Roman"/>
          <w:color w:val="00005C"/>
          <w:spacing w:val="5"/>
          <w:sz w:val="18"/>
        </w:rPr>
        <w:t xml:space="preserve"> </w:t>
      </w:r>
      <w:r>
        <w:rPr>
          <w:rFonts w:ascii="Arial" w:hAnsi="Arial"/>
          <w:b/>
          <w:color w:val="00005C"/>
          <w:sz w:val="18"/>
        </w:rPr>
        <w:t>PROPOS</w:t>
      </w:r>
      <w:r>
        <w:rPr>
          <w:rFonts w:ascii="Times New Roman" w:hAnsi="Times New Roman"/>
          <w:color w:val="00005C"/>
          <w:spacing w:val="4"/>
          <w:sz w:val="18"/>
        </w:rPr>
        <w:t xml:space="preserve"> </w:t>
      </w:r>
      <w:r>
        <w:rPr>
          <w:rFonts w:ascii="Arial" w:hAnsi="Arial"/>
          <w:b/>
          <w:color w:val="00005C"/>
          <w:sz w:val="18"/>
        </w:rPr>
        <w:t>DE</w:t>
      </w:r>
      <w:r>
        <w:rPr>
          <w:rFonts w:ascii="Times New Roman" w:hAnsi="Times New Roman"/>
          <w:color w:val="00005C"/>
          <w:spacing w:val="5"/>
          <w:sz w:val="18"/>
        </w:rPr>
        <w:t xml:space="preserve"> </w:t>
      </w:r>
      <w:r>
        <w:rPr>
          <w:rFonts w:ascii="Arial" w:hAnsi="Arial"/>
          <w:b/>
          <w:color w:val="00005C"/>
          <w:sz w:val="18"/>
        </w:rPr>
        <w:t>LA</w:t>
      </w:r>
      <w:r>
        <w:rPr>
          <w:rFonts w:ascii="Times New Roman" w:hAnsi="Times New Roman"/>
          <w:color w:val="00005C"/>
          <w:spacing w:val="5"/>
          <w:sz w:val="18"/>
        </w:rPr>
        <w:t xml:space="preserve"> </w:t>
      </w:r>
      <w:r>
        <w:rPr>
          <w:rFonts w:ascii="Arial" w:hAnsi="Arial"/>
          <w:b/>
          <w:color w:val="00005C"/>
          <w:spacing w:val="-5"/>
          <w:sz w:val="18"/>
        </w:rPr>
        <w:t>CGE</w:t>
      </w:r>
    </w:p>
    <w:p w14:paraId="5346E369" w14:textId="2D98D489" w:rsidR="00674457" w:rsidRPr="006A044E" w:rsidRDefault="006A044E" w:rsidP="006A044E">
      <w:pPr>
        <w:ind w:left="175"/>
        <w:jc w:val="both"/>
        <w:rPr>
          <w:rFonts w:ascii="Arial" w:hAnsi="Arial" w:cs="Arial"/>
          <w:sz w:val="18"/>
          <w:szCs w:val="18"/>
        </w:rPr>
      </w:pPr>
      <w:r w:rsidRPr="00ED5C14">
        <w:rPr>
          <w:rFonts w:ascii="Arial" w:hAnsi="Arial" w:cs="Arial"/>
          <w:sz w:val="18"/>
          <w:szCs w:val="18"/>
        </w:rPr>
        <w:t>Créée en 1973, la Conférence des grandes écoles, association loi de 1901, rassemble 24</w:t>
      </w:r>
      <w:r>
        <w:rPr>
          <w:rFonts w:ascii="Arial" w:hAnsi="Arial" w:cs="Arial"/>
          <w:sz w:val="18"/>
          <w:szCs w:val="18"/>
        </w:rPr>
        <w:t>5</w:t>
      </w:r>
      <w:r w:rsidRPr="00ED5C14">
        <w:rPr>
          <w:rFonts w:ascii="Arial" w:hAnsi="Arial" w:cs="Arial"/>
          <w:sz w:val="18"/>
          <w:szCs w:val="18"/>
        </w:rPr>
        <w:t xml:space="preserve"> écoles de niveau master et au-delà, ainsi qu'une cinquantaine d'entreprises et organismes membres. Parmi les </w:t>
      </w:r>
      <w:r>
        <w:rPr>
          <w:rFonts w:ascii="Arial" w:hAnsi="Arial" w:cs="Arial"/>
          <w:sz w:val="18"/>
          <w:szCs w:val="18"/>
        </w:rPr>
        <w:t xml:space="preserve">235 </w:t>
      </w:r>
      <w:r w:rsidRPr="00ED5C14">
        <w:rPr>
          <w:rFonts w:ascii="Arial" w:hAnsi="Arial" w:cs="Arial"/>
          <w:sz w:val="18"/>
          <w:szCs w:val="18"/>
        </w:rPr>
        <w:t xml:space="preserve">écoles </w:t>
      </w:r>
      <w:r>
        <w:rPr>
          <w:rFonts w:ascii="Arial" w:hAnsi="Arial" w:cs="Arial"/>
          <w:sz w:val="18"/>
          <w:szCs w:val="18"/>
        </w:rPr>
        <w:t xml:space="preserve">françaises </w:t>
      </w:r>
      <w:r w:rsidRPr="00ED5C14">
        <w:rPr>
          <w:rFonts w:ascii="Arial" w:hAnsi="Arial" w:cs="Arial"/>
          <w:sz w:val="18"/>
          <w:szCs w:val="18"/>
        </w:rPr>
        <w:t>qui la constituent (1</w:t>
      </w:r>
      <w:r>
        <w:rPr>
          <w:rFonts w:ascii="Arial" w:hAnsi="Arial" w:cs="Arial"/>
          <w:sz w:val="18"/>
          <w:szCs w:val="18"/>
        </w:rPr>
        <w:t>48</w:t>
      </w:r>
      <w:r w:rsidRPr="00ED5C14">
        <w:rPr>
          <w:rFonts w:ascii="Arial" w:hAnsi="Arial" w:cs="Arial"/>
          <w:sz w:val="18"/>
          <w:szCs w:val="18"/>
        </w:rPr>
        <w:t xml:space="preserve"> écoles d’ingénieurs, </w:t>
      </w:r>
      <w:r>
        <w:rPr>
          <w:rFonts w:ascii="Arial" w:hAnsi="Arial" w:cs="Arial"/>
          <w:sz w:val="18"/>
          <w:szCs w:val="18"/>
        </w:rPr>
        <w:t>39</w:t>
      </w:r>
      <w:r w:rsidRPr="00ED5C14">
        <w:rPr>
          <w:rFonts w:ascii="Arial" w:hAnsi="Arial" w:cs="Arial"/>
          <w:sz w:val="18"/>
          <w:szCs w:val="18"/>
        </w:rPr>
        <w:t xml:space="preserve"> écoles de management</w:t>
      </w:r>
      <w:r>
        <w:rPr>
          <w:rFonts w:ascii="Arial" w:hAnsi="Arial" w:cs="Arial"/>
          <w:sz w:val="18"/>
          <w:szCs w:val="18"/>
        </w:rPr>
        <w:t>,</w:t>
      </w:r>
      <w:r w:rsidRPr="00ED5C14">
        <w:rPr>
          <w:rFonts w:ascii="Arial" w:hAnsi="Arial" w:cs="Arial"/>
          <w:sz w:val="18"/>
          <w:szCs w:val="18"/>
        </w:rPr>
        <w:t xml:space="preserve"> 4</w:t>
      </w:r>
      <w:r>
        <w:rPr>
          <w:rFonts w:ascii="Arial" w:hAnsi="Arial" w:cs="Arial"/>
          <w:sz w:val="18"/>
          <w:szCs w:val="18"/>
        </w:rPr>
        <w:t>8</w:t>
      </w:r>
      <w:r w:rsidRPr="00ED5C14">
        <w:rPr>
          <w:rFonts w:ascii="Arial" w:hAnsi="Arial" w:cs="Arial"/>
          <w:sz w:val="18"/>
          <w:szCs w:val="18"/>
        </w:rPr>
        <w:t xml:space="preserve"> écoles de spécialités), 65% sont des établissements publics, le reste, dans une très grande majorité, sont d’intérêt général. Au-delà de ses missions de représentation d’intérêts auprès des décideurs publics et d’accréditation, habilitation et labellisation des formations délivrées par ses membres, la CGE a une mission de réflexion à travers ses 1</w:t>
      </w:r>
      <w:r>
        <w:rPr>
          <w:rFonts w:ascii="Arial" w:hAnsi="Arial" w:cs="Arial"/>
          <w:sz w:val="18"/>
          <w:szCs w:val="18"/>
        </w:rPr>
        <w:t>1</w:t>
      </w:r>
      <w:r w:rsidRPr="00ED5C14">
        <w:rPr>
          <w:rFonts w:ascii="Arial" w:hAnsi="Arial" w:cs="Arial"/>
          <w:sz w:val="18"/>
          <w:szCs w:val="18"/>
        </w:rPr>
        <w:t xml:space="preserve"> Commissions et </w:t>
      </w:r>
      <w:r>
        <w:rPr>
          <w:rFonts w:ascii="Arial" w:hAnsi="Arial" w:cs="Arial"/>
          <w:sz w:val="18"/>
          <w:szCs w:val="18"/>
        </w:rPr>
        <w:t>35</w:t>
      </w:r>
      <w:r w:rsidRPr="00ED5C14">
        <w:rPr>
          <w:rFonts w:ascii="Arial" w:hAnsi="Arial" w:cs="Arial"/>
          <w:sz w:val="18"/>
          <w:szCs w:val="18"/>
        </w:rPr>
        <w:t xml:space="preserve"> groupes de travail. À ce titre, elle joue un rôle clé dans le développement et le rayonnement de l'enseignement supérieur et de la recherche en France et à l’international.</w:t>
      </w:r>
    </w:p>
    <w:p w14:paraId="618F0CD5" w14:textId="77777777" w:rsidR="00674457" w:rsidRDefault="00674457">
      <w:pPr>
        <w:spacing w:before="1"/>
        <w:ind w:left="175"/>
        <w:rPr>
          <w:rFonts w:ascii="Arial"/>
          <w:b/>
          <w:i/>
          <w:sz w:val="18"/>
        </w:rPr>
      </w:pPr>
      <w:hyperlink r:id="rId6">
        <w:r>
          <w:rPr>
            <w:rFonts w:ascii="Arial"/>
            <w:b/>
            <w:i/>
            <w:color w:val="0000FF"/>
            <w:spacing w:val="-2"/>
            <w:sz w:val="18"/>
            <w:u w:val="single" w:color="0000FF"/>
          </w:rPr>
          <w:t>www.cge.asso.fr</w:t>
        </w:r>
      </w:hyperlink>
    </w:p>
    <w:p w14:paraId="47EC317A" w14:textId="77777777" w:rsidR="00674457" w:rsidRDefault="00674457">
      <w:pPr>
        <w:pStyle w:val="Corpsdetexte"/>
        <w:spacing w:before="71"/>
        <w:rPr>
          <w:rFonts w:ascii="Arial"/>
          <w:b/>
          <w:i/>
          <w:sz w:val="18"/>
        </w:rPr>
      </w:pPr>
    </w:p>
    <w:p w14:paraId="4B32F6F4" w14:textId="77777777" w:rsidR="00674457" w:rsidRDefault="00000000">
      <w:pPr>
        <w:spacing w:line="206" w:lineRule="exact"/>
        <w:ind w:left="175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color w:val="00005C"/>
          <w:sz w:val="18"/>
        </w:rPr>
        <w:t>LinkedIn</w:t>
      </w:r>
      <w:r>
        <w:rPr>
          <w:rFonts w:ascii="Arial" w:hAnsi="Arial"/>
          <w:b/>
          <w:color w:val="00005C"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: </w:t>
      </w:r>
      <w:r>
        <w:rPr>
          <w:rFonts w:ascii="Arial" w:hAnsi="Arial"/>
          <w:b/>
          <w:color w:val="C00000"/>
          <w:sz w:val="18"/>
        </w:rPr>
        <w:t>@</w:t>
      </w:r>
      <w:r>
        <w:rPr>
          <w:rFonts w:ascii="Arial" w:hAnsi="Arial"/>
          <w:b/>
          <w:i/>
          <w:color w:val="C00000"/>
          <w:sz w:val="18"/>
        </w:rPr>
        <w:t>Conférence</w:t>
      </w:r>
      <w:r>
        <w:rPr>
          <w:rFonts w:ascii="Arial" w:hAnsi="Arial"/>
          <w:b/>
          <w:i/>
          <w:color w:val="C00000"/>
          <w:spacing w:val="-2"/>
          <w:sz w:val="18"/>
        </w:rPr>
        <w:t xml:space="preserve"> </w:t>
      </w:r>
      <w:r>
        <w:rPr>
          <w:rFonts w:ascii="Arial" w:hAnsi="Arial"/>
          <w:b/>
          <w:i/>
          <w:color w:val="C00000"/>
          <w:sz w:val="18"/>
        </w:rPr>
        <w:t>des grandes</w:t>
      </w:r>
      <w:r>
        <w:rPr>
          <w:rFonts w:ascii="Arial" w:hAnsi="Arial"/>
          <w:b/>
          <w:i/>
          <w:color w:val="C00000"/>
          <w:spacing w:val="-1"/>
          <w:sz w:val="18"/>
        </w:rPr>
        <w:t xml:space="preserve"> </w:t>
      </w:r>
      <w:r>
        <w:rPr>
          <w:rFonts w:ascii="Arial" w:hAnsi="Arial"/>
          <w:b/>
          <w:i/>
          <w:color w:val="C00000"/>
          <w:sz w:val="18"/>
        </w:rPr>
        <w:t xml:space="preserve">écoles </w:t>
      </w:r>
      <w:r>
        <w:rPr>
          <w:rFonts w:ascii="Arial" w:hAnsi="Arial"/>
          <w:b/>
          <w:i/>
          <w:color w:val="C00000"/>
          <w:spacing w:val="-2"/>
          <w:sz w:val="18"/>
        </w:rPr>
        <w:t>(CGE)</w:t>
      </w:r>
    </w:p>
    <w:p w14:paraId="7D38BC1D" w14:textId="77777777" w:rsidR="00674457" w:rsidRDefault="00000000">
      <w:pPr>
        <w:spacing w:line="206" w:lineRule="exact"/>
        <w:ind w:left="175"/>
        <w:rPr>
          <w:rFonts w:ascii="Arial"/>
          <w:b/>
          <w:i/>
          <w:sz w:val="18"/>
        </w:rPr>
      </w:pPr>
      <w:r>
        <w:rPr>
          <w:rFonts w:ascii="Arial"/>
          <w:b/>
          <w:color w:val="00005C"/>
          <w:sz w:val="18"/>
        </w:rPr>
        <w:t>YouTube</w:t>
      </w:r>
      <w:r>
        <w:rPr>
          <w:rFonts w:ascii="Arial"/>
          <w:b/>
          <w:color w:val="00005C"/>
          <w:spacing w:val="-3"/>
          <w:sz w:val="18"/>
        </w:rPr>
        <w:t xml:space="preserve"> </w:t>
      </w:r>
      <w:r>
        <w:rPr>
          <w:rFonts w:ascii="Arial"/>
          <w:b/>
          <w:color w:val="00005C"/>
          <w:sz w:val="18"/>
        </w:rPr>
        <w:t>:</w:t>
      </w:r>
      <w:r>
        <w:rPr>
          <w:rFonts w:ascii="Arial"/>
          <w:b/>
          <w:color w:val="00005C"/>
          <w:spacing w:val="-2"/>
          <w:sz w:val="18"/>
        </w:rPr>
        <w:t xml:space="preserve"> </w:t>
      </w:r>
      <w:r>
        <w:rPr>
          <w:rFonts w:ascii="Arial"/>
          <w:b/>
          <w:i/>
          <w:color w:val="C00000"/>
          <w:spacing w:val="-2"/>
          <w:sz w:val="18"/>
        </w:rPr>
        <w:t>@conferencedesgrandesecoles845</w:t>
      </w:r>
    </w:p>
    <w:p w14:paraId="04959DB3" w14:textId="77777777" w:rsidR="00674457" w:rsidRDefault="00674457">
      <w:pPr>
        <w:pStyle w:val="Corpsdetexte"/>
        <w:spacing w:before="71"/>
        <w:rPr>
          <w:rFonts w:ascii="Arial"/>
          <w:b/>
          <w:i/>
          <w:sz w:val="18"/>
        </w:rPr>
      </w:pPr>
    </w:p>
    <w:p w14:paraId="7ACF848F" w14:textId="77777777" w:rsidR="00674457" w:rsidRDefault="00000000">
      <w:pPr>
        <w:spacing w:line="206" w:lineRule="exact"/>
        <w:ind w:left="175"/>
        <w:rPr>
          <w:rFonts w:ascii="Arial"/>
          <w:b/>
          <w:sz w:val="18"/>
        </w:rPr>
      </w:pPr>
      <w:r>
        <w:rPr>
          <w:rFonts w:ascii="Arial"/>
          <w:b/>
          <w:color w:val="00005C"/>
          <w:sz w:val="18"/>
        </w:rPr>
        <w:t>CONTACT</w:t>
      </w:r>
      <w:r>
        <w:rPr>
          <w:rFonts w:ascii="Times New Roman"/>
          <w:color w:val="00005C"/>
          <w:spacing w:val="7"/>
          <w:sz w:val="18"/>
        </w:rPr>
        <w:t xml:space="preserve"> </w:t>
      </w:r>
      <w:r>
        <w:rPr>
          <w:rFonts w:ascii="Arial"/>
          <w:b/>
          <w:color w:val="00005C"/>
          <w:sz w:val="18"/>
        </w:rPr>
        <w:t>PRESSE</w:t>
      </w:r>
      <w:r>
        <w:rPr>
          <w:rFonts w:ascii="Times New Roman"/>
          <w:color w:val="00005C"/>
          <w:spacing w:val="5"/>
          <w:sz w:val="18"/>
        </w:rPr>
        <w:t xml:space="preserve"> </w:t>
      </w:r>
      <w:r>
        <w:rPr>
          <w:rFonts w:ascii="Arial"/>
          <w:b/>
          <w:color w:val="00005C"/>
          <w:spacing w:val="-5"/>
          <w:sz w:val="18"/>
        </w:rPr>
        <w:t>CGE</w:t>
      </w:r>
    </w:p>
    <w:p w14:paraId="16E012D5" w14:textId="77777777" w:rsidR="006A044E" w:rsidRDefault="00000000">
      <w:pPr>
        <w:ind w:left="175" w:right="8453"/>
        <w:rPr>
          <w:sz w:val="18"/>
        </w:rPr>
      </w:pPr>
      <w:r>
        <w:rPr>
          <w:sz w:val="18"/>
        </w:rPr>
        <w:t>Agence</w:t>
      </w:r>
      <w:r>
        <w:rPr>
          <w:rFonts w:ascii="Times New Roman" w:hAnsi="Times New Roman"/>
          <w:sz w:val="18"/>
        </w:rPr>
        <w:t xml:space="preserve"> </w:t>
      </w:r>
      <w:proofErr w:type="spellStart"/>
      <w:r w:rsidR="006A044E">
        <w:rPr>
          <w:sz w:val="18"/>
        </w:rPr>
        <w:t>Mantu</w:t>
      </w:r>
      <w:proofErr w:type="spellEnd"/>
    </w:p>
    <w:p w14:paraId="7DBBC48A" w14:textId="77777777" w:rsidR="006A044E" w:rsidRDefault="006A044E" w:rsidP="006A044E">
      <w:pPr>
        <w:ind w:left="175" w:right="8453"/>
        <w:rPr>
          <w:sz w:val="18"/>
        </w:rPr>
      </w:pPr>
      <w:r>
        <w:rPr>
          <w:sz w:val="18"/>
        </w:rPr>
        <w:t>Lucie Fortin</w:t>
      </w:r>
    </w:p>
    <w:p w14:paraId="3A780A2F" w14:textId="6ECE5C67" w:rsidR="006A044E" w:rsidRPr="006A044E" w:rsidRDefault="006A044E" w:rsidP="006A044E">
      <w:pPr>
        <w:ind w:left="175" w:right="8453"/>
        <w:rPr>
          <w:sz w:val="18"/>
        </w:rPr>
      </w:pPr>
      <w:hyperlink r:id="rId7" w:history="1">
        <w:r w:rsidRPr="00DF15FB">
          <w:rPr>
            <w:rStyle w:val="Lienhypertexte"/>
            <w:spacing w:val="-2"/>
            <w:sz w:val="18"/>
          </w:rPr>
          <w:t>lfortin@mantu.com</w:t>
        </w:r>
      </w:hyperlink>
    </w:p>
    <w:p w14:paraId="061D6C6C" w14:textId="1D40563A" w:rsidR="00674457" w:rsidRDefault="00000000">
      <w:pPr>
        <w:ind w:left="175" w:right="8453"/>
        <w:rPr>
          <w:sz w:val="18"/>
        </w:rPr>
      </w:pPr>
      <w:r>
        <w:rPr>
          <w:sz w:val="18"/>
        </w:rPr>
        <w:t>06</w:t>
      </w:r>
      <w:r>
        <w:rPr>
          <w:rFonts w:ascii="Times New Roman" w:hAnsi="Times New Roman"/>
          <w:sz w:val="18"/>
        </w:rPr>
        <w:t xml:space="preserve"> </w:t>
      </w:r>
      <w:r w:rsidR="006A044E">
        <w:rPr>
          <w:sz w:val="18"/>
        </w:rPr>
        <w:t>19 68 70 18</w:t>
      </w:r>
    </w:p>
    <w:p w14:paraId="31D51220" w14:textId="021659C2" w:rsidR="00674457" w:rsidRDefault="00000000">
      <w:pPr>
        <w:spacing w:before="207"/>
        <w:ind w:left="5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Pour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ne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plus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i/>
          <w:sz w:val="18"/>
        </w:rPr>
        <w:t>recevoir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i/>
          <w:sz w:val="18"/>
        </w:rPr>
        <w:t>actualités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CGE,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i/>
          <w:sz w:val="18"/>
        </w:rPr>
        <w:t>cliquer</w:t>
      </w:r>
      <w:r>
        <w:rPr>
          <w:rFonts w:ascii="Times New Roman" w:hAnsi="Times New Roman"/>
          <w:spacing w:val="4"/>
          <w:sz w:val="18"/>
        </w:rPr>
        <w:t xml:space="preserve"> </w:t>
      </w:r>
      <w:hyperlink r:id="rId8">
        <w:r w:rsidR="00674457">
          <w:rPr>
            <w:rFonts w:ascii="Arial" w:hAnsi="Arial"/>
            <w:i/>
            <w:color w:val="0000FF"/>
            <w:spacing w:val="-5"/>
            <w:sz w:val="18"/>
            <w:u w:val="single" w:color="0000FF"/>
          </w:rPr>
          <w:t>ici</w:t>
        </w:r>
      </w:hyperlink>
    </w:p>
    <w:sectPr w:rsidR="00674457">
      <w:pgSz w:w="11900" w:h="16840"/>
      <w:pgMar w:top="15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14C1D"/>
    <w:multiLevelType w:val="hybridMultilevel"/>
    <w:tmpl w:val="B2BC6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73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57"/>
    <w:rsid w:val="00523565"/>
    <w:rsid w:val="00674457"/>
    <w:rsid w:val="006A044E"/>
    <w:rsid w:val="00AB316B"/>
    <w:rsid w:val="00D6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2E04"/>
  <w15:docId w15:val="{7F1F2969-A4BF-B64E-9C83-B22DA7C3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</w:p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A044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0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4421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610625784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</w:divsChild>
    </w:div>
    <w:div w:id="719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100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1167017803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784423963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</w:divsChild>
    </w:div>
    <w:div w:id="747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954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478810225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1562011032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</w:divsChild>
    </w:div>
    <w:div w:id="1008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6339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412629054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1251769835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</w:divsChild>
    </w:div>
    <w:div w:id="1141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831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664935014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1441608265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</w:divsChild>
    </w:div>
    <w:div w:id="1186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2291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212619545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1205026829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</w:divsChild>
    </w:div>
    <w:div w:id="1209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322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122967819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1682969894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</w:divsChild>
    </w:div>
    <w:div w:id="1544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240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2012678286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1150825885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</w:divsChild>
    </w:div>
    <w:div w:id="17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7695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1862862825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298342392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</w:divsChild>
    </w:div>
    <w:div w:id="1783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6875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  <w:div w:id="295719638">
          <w:marLeft w:val="0"/>
          <w:marRight w:val="0"/>
          <w:marTop w:val="0"/>
          <w:marBottom w:val="0"/>
          <w:divBdr>
            <w:top w:val="single" w:sz="2" w:space="0" w:color="D3D5D9"/>
            <w:left w:val="single" w:sz="2" w:space="0" w:color="D3D5D9"/>
            <w:bottom w:val="single" w:sz="2" w:space="0" w:color="D3D5D9"/>
            <w:right w:val="single" w:sz="2" w:space="0" w:color="D3D5D9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ortin@mantu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lfortin@mantu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ge.asso.fr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1989513E31745852AC9DE048BAC00" ma:contentTypeVersion="24" ma:contentTypeDescription="Crée un document." ma:contentTypeScope="" ma:versionID="f5f46b36cd4fb07c16b3dd075da52274">
  <xsd:schema xmlns:xsd="http://www.w3.org/2001/XMLSchema" xmlns:xs="http://www.w3.org/2001/XMLSchema" xmlns:p="http://schemas.microsoft.com/office/2006/metadata/properties" xmlns:ns2="64d9a1e0-d3ad-45f1-abf1-a4b83054b420" xmlns:ns3="1704be1f-3e56-42bf-a3d7-b930ab42a5d3" targetNamespace="http://schemas.microsoft.com/office/2006/metadata/properties" ma:root="true" ma:fieldsID="67707f06dd631ec599c0e136a086d648" ns2:_="" ns3:_="">
    <xsd:import namespace="64d9a1e0-d3ad-45f1-abf1-a4b83054b420"/>
    <xsd:import namespace="1704be1f-3e56-42bf-a3d7-b930ab42a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urce" minOccurs="0"/>
                <xsd:element ref="ns2:Type_x0020_publication" minOccurs="0"/>
                <xsd:element ref="ns2:Ann_x00e9_e" minOccurs="0"/>
                <xsd:element ref="ns2:Date_x0020_de_x0020_publication" minOccurs="0"/>
                <xsd:element ref="ns2:Th_x00e8_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a1e0-d3ad-45f1-abf1-a4b83054b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urce" ma:index="20" nillable="true" ma:displayName="Source" ma:format="Dropdown" ma:internalName="Source">
      <xsd:simpleType>
        <xsd:restriction base="dms:Choice">
          <xsd:enumeration value="Publications de la CGE"/>
          <xsd:enumeration value="Sources et références externes"/>
        </xsd:restriction>
      </xsd:simpleType>
    </xsd:element>
    <xsd:element name="Type_x0020_publication" ma:index="21" nillable="true" ma:displayName="Type publication" ma:format="Dropdown" ma:internalName="Type_x0020_publication">
      <xsd:simpleType>
        <xsd:restriction base="dms:Choice">
          <xsd:enumeration value="Actes de Congrès ou Séminaire"/>
          <xsd:enumeration value="Baromètre"/>
          <xsd:enumeration value="Charte"/>
          <xsd:enumeration value="Communiqué de presse"/>
          <xsd:enumeration value="Compte-rendu"/>
          <xsd:enumeration value="Dossier de presse"/>
          <xsd:enumeration value="Enquête"/>
          <xsd:enumeration value="Etude"/>
          <xsd:enumeration value="Fiche de lecture"/>
          <xsd:enumeration value="Fiche thématique"/>
          <xsd:enumeration value="Guide"/>
          <xsd:enumeration value="Livre blanc"/>
          <xsd:enumeration value="Loi, décret, arrêté, circulaire"/>
          <xsd:enumeration value="Newsletter &quot;Anti-idée reçue&quot;"/>
          <xsd:enumeration value="Note d'analyse"/>
          <xsd:enumeration value="Prise de position"/>
          <xsd:enumeration value="Rapport"/>
          <xsd:enumeration value="Rapport d'activité"/>
          <xsd:enumeration value="Recueil statistique"/>
          <xsd:enumeration value="Revue de presse"/>
          <xsd:enumeration value="Sondage"/>
        </xsd:restriction>
      </xsd:simpleType>
    </xsd:element>
    <xsd:element name="Ann_x00e9_e" ma:index="22" nillable="true" ma:displayName="Année" ma:format="Dropdown" ma:internalName="Ann_x00e9_e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Date_x0020_de_x0020_publication" ma:index="23" nillable="true" ma:displayName="Date de publication" ma:format="DateOnly" ma:internalName="Date_x0020_de_x0020_publication">
      <xsd:simpleType>
        <xsd:restriction base="dms:DateTime"/>
      </xsd:simpleType>
    </xsd:element>
    <xsd:element name="Th_x00e8_me" ma:index="24" nillable="true" ma:displayName="Thème" ma:internalName="Th_x00e8_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ès à l'enseignement supérieur"/>
                    <xsd:enumeration value="Accessibilité des bâtiments"/>
                    <xsd:enumeration value="Accréditations"/>
                    <xsd:enumeration value="Accréditations internationales"/>
                    <xsd:enumeration value="Accueil des étudiants"/>
                    <xsd:enumeration value="Alumni"/>
                    <xsd:enumeration value="APB"/>
                    <xsd:enumeration value="Apprentissage"/>
                    <xsd:enumeration value="Assises de l'ESR 2012"/>
                    <xsd:enumeration value="Attractivité internationale"/>
                    <xsd:enumeration value="Bourses"/>
                    <xsd:enumeration value="Bourses d'établissement"/>
                    <xsd:enumeration value="Brevêt"/>
                    <xsd:enumeration value="Campus internationaux"/>
                    <xsd:enumeration value="Carrière"/>
                    <xsd:enumeration value="CES Las Vegas"/>
                    <xsd:enumeration value="Césure"/>
                    <xsd:enumeration value="CGE"/>
                    <xsd:enumeration value="Classement"/>
                    <xsd:enumeration value="Cohésion sociale"/>
                    <xsd:enumeration value="Compétences"/>
                    <xsd:enumeration value="Compétitivité"/>
                    <xsd:enumeration value="ComUE"/>
                    <xsd:enumeration value="Concours"/>
                    <xsd:enumeration value="Conditions de vie"/>
                    <xsd:enumeration value="Cordées de la réussite"/>
                    <xsd:enumeration value="Coût de la formation"/>
                    <xsd:enumeration value="CPGE"/>
                    <xsd:enumeration value="Création de valeur"/>
                    <xsd:enumeration value="Crise économique"/>
                    <xsd:enumeration value="Croissance économique"/>
                    <xsd:enumeration value="Crowfunding"/>
                    <xsd:enumeration value="Décrochage scolaire"/>
                    <xsd:enumeration value="Démographie étudiante"/>
                    <xsd:enumeration value="Dépense d'éducation"/>
                    <xsd:enumeration value="Développement Durable"/>
                    <xsd:enumeration value="Diversité"/>
                    <xsd:enumeration value="Doctorat"/>
                    <xsd:enumeration value="Droit d'auteur"/>
                    <xsd:enumeration value="Droits d'inscription"/>
                    <xsd:enumeration value="Echelle sociale"/>
                    <xsd:enumeration value="Eco-campus"/>
                    <xsd:enumeration value="Ecoles d'autres spécialités"/>
                    <xsd:enumeration value="Ecoles d'ingénieur"/>
                    <xsd:enumeration value="Ecoles de Management"/>
                    <xsd:enumeration value="Economie"/>
                    <xsd:enumeration value="Education"/>
                    <xsd:enumeration value="Education - aspect économique"/>
                    <xsd:enumeration value="Effectifs étudiants"/>
                    <xsd:enumeration value="Efficience"/>
                    <xsd:enumeration value="Egalité"/>
                    <xsd:enumeration value="Egalité professionnelle"/>
                    <xsd:enumeration value="Election présidentielle"/>
                    <xsd:enumeration value="Elèves en difficulté"/>
                    <xsd:enumeration value="Emploi"/>
                    <xsd:enumeration value="Encadrement des stages"/>
                    <xsd:enumeration value="Enseignement numérique"/>
                    <xsd:enumeration value="Enseignement primaire et secondaire"/>
                    <xsd:enumeration value="Enseignement secondaire"/>
                    <xsd:enumeration value="Enseignement supérieur"/>
                    <xsd:enumeration value="Enseignement Supérieur et Recherche (Etats-Unis)"/>
                    <xsd:enumeration value="Enseignement Supérieur et Recherche (France)"/>
                    <xsd:enumeration value="Enseignement Supérieur et Recherche (Monde)"/>
                    <xsd:enumeration value="Entrepreneuriat"/>
                    <xsd:enumeration value="Entreprise"/>
                    <xsd:enumeration value="Equité sociale"/>
                    <xsd:enumeration value="Etablissements d'enseignement supérieur"/>
                    <xsd:enumeration value="Ethique"/>
                    <xsd:enumeration value="Etudiants étrangers"/>
                    <xsd:enumeration value="Europe"/>
                    <xsd:enumeration value="Evaluation"/>
                    <xsd:enumeration value="Femmes"/>
                    <xsd:enumeration value="Filière CPGE/GE"/>
                    <xsd:enumeration value="Filières d'enseignement"/>
                    <xsd:enumeration value="Financement"/>
                    <xsd:enumeration value="Financement des études"/>
                    <xsd:enumeration value="Finances publiques"/>
                    <xsd:enumeration value="Flux de diplômés"/>
                    <xsd:enumeration value="Fonds de roulement"/>
                    <xsd:enumeration value="Formation"/>
                    <xsd:enumeration value="Formation à distance"/>
                    <xsd:enumeration value="Formation complémentaire"/>
                    <xsd:enumeration value="Formation continue"/>
                    <xsd:enumeration value="Formation des enseignants"/>
                    <xsd:enumeration value="Formation doctorale"/>
                    <xsd:enumeration value="Formation initiale"/>
                    <xsd:enumeration value="Formations courtes"/>
                    <xsd:enumeration value="Fracture sanitaire"/>
                    <xsd:enumeration value="France"/>
                    <xsd:enumeration value="Fuite des cerveaux"/>
                    <xsd:enumeration value="Fundraising"/>
                    <xsd:enumeration value="Gestion de crise"/>
                    <xsd:enumeration value="Gouvernance"/>
                    <xsd:enumeration value="Grade master"/>
                    <xsd:enumeration value="Grandes écoles"/>
                    <xsd:enumeration value="Habilitations"/>
                    <xsd:enumeration value="Handicap"/>
                    <xsd:enumeration value="Hommes"/>
                    <xsd:enumeration value="Ile-de-France"/>
                    <xsd:enumeration value="Impact économique"/>
                    <xsd:enumeration value="Impact social"/>
                    <xsd:enumeration value="Impact territorial"/>
                    <xsd:enumeration value="Incubateur d'entreprise"/>
                    <xsd:enumeration value="Inégalités sociales"/>
                    <xsd:enumeration value="Innovation"/>
                    <xsd:enumeration value="Insertion"/>
                    <xsd:enumeration value="Intelligence artificielle"/>
                    <xsd:enumeration value="Internationalisation"/>
                    <xsd:enumeration value="Jeunesse"/>
                    <xsd:enumeration value="Loi ESR"/>
                    <xsd:enumeration value="Lycée"/>
                    <xsd:enumeration value="Lycée - Voie professionnelle"/>
                    <xsd:enumeration value="Migrations internationales"/>
                    <xsd:enumeration value="Mobilité internationale"/>
                    <xsd:enumeration value="Mobilité sociale"/>
                    <xsd:enumeration value="Modèle Grande école"/>
                    <xsd:enumeration value="Mondialisation"/>
                    <xsd:enumeration value="MS"/>
                    <xsd:enumeration value="Mutation de la société"/>
                    <xsd:enumeration value="Niveau de diplôme"/>
                    <xsd:enumeration value="Niveau de vie"/>
                    <xsd:enumeration value="Offre de formation"/>
                    <xsd:enumeration value="Open Access"/>
                    <xsd:enumeration value="Open labs"/>
                    <xsd:enumeration value="Orientation"/>
                    <xsd:enumeration value="Ouverture sociale"/>
                    <xsd:enumeration value="Parité"/>
                    <xsd:enumeration value="Pédagogie"/>
                    <xsd:enumeration value="PEPITE"/>
                    <xsd:enumeration value="PISA"/>
                    <xsd:enumeration value="Politique de l'éducation"/>
                    <xsd:enumeration value="Politique extérieure"/>
                    <xsd:enumeration value="Politique sociale"/>
                    <xsd:enumeration value="Poursuite d'études"/>
                    <xsd:enumeration value="Précarité"/>
                    <xsd:enumeration value="Premier cycle"/>
                    <xsd:enumeration value="Premier cycle (réussite)"/>
                    <xsd:enumeration value="PRES"/>
                    <xsd:enumeration value="Prévention des risques"/>
                    <xsd:enumeration value="Principe de précaution"/>
                    <xsd:enumeration value="Projet européen"/>
                    <xsd:enumeration value="Projet Voltaire"/>
                    <xsd:enumeration value="Propriété intellectuelle"/>
                    <xsd:enumeration value="Prospective"/>
                    <xsd:enumeration value="Publications scientifiques"/>
                    <xsd:enumeration value="Qualité"/>
                    <xsd:enumeration value="Recherche"/>
                    <xsd:enumeration value="Recrutement"/>
                    <xsd:enumeration value="Réforme des programmes"/>
                    <xsd:enumeration value="Regroupements de site"/>
                    <xsd:enumeration value="Réindustrialisation"/>
                    <xsd:enumeration value="Relations internationales"/>
                    <xsd:enumeration value="Responsabilité globale"/>
                    <xsd:enumeration value="Résultats scolaires"/>
                    <xsd:enumeration value="RNCP"/>
                    <xsd:enumeration value="RSE"/>
                    <xsd:enumeration value="Santé"/>
                    <xsd:enumeration value="Simplification"/>
                    <xsd:enumeration value="Situation et conditions économiques générales"/>
                    <xsd:enumeration value="Société de la connaissance"/>
                    <xsd:enumeration value="Stages"/>
                    <xsd:enumeration value="Statistiques générales"/>
                    <xsd:enumeration value="StraNES"/>
                    <xsd:enumeration value="Structure d'engagement (association, syndicat, parti politique)"/>
                    <xsd:enumeration value="Suivi sanitaire"/>
                    <xsd:enumeration value="Système économique"/>
                    <xsd:enumeration value="Système éducatif"/>
                    <xsd:enumeration value="Taux de chômage"/>
                    <xsd:enumeration value="Taxe d'apprentissage"/>
                    <xsd:enumeration value="Tourisme médical"/>
                    <xsd:enumeration value="Travail"/>
                    <xsd:enumeration value="Union européenne"/>
                    <xsd:enumeration value="Université"/>
                    <xsd:enumeration value="Voies d'accès"/>
                    <xsd:enumeration value="Voies parallèles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0b03197a-6a33-49ee-bac2-77091bab2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4be1f-3e56-42bf-a3d7-b930ab42a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969edea-3b51-4dfe-972a-34ac3e216491}" ma:internalName="TaxCatchAll" ma:showField="CatchAllData" ma:web="1704be1f-3e56-42bf-a3d7-b930ab42a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n_x00e9_e xmlns="64d9a1e0-d3ad-45f1-abf1-a4b83054b420" xsi:nil="true"/>
    <Date_x0020_de_x0020_publication xmlns="64d9a1e0-d3ad-45f1-abf1-a4b83054b420" xsi:nil="true"/>
    <Th_x00e8_me xmlns="64d9a1e0-d3ad-45f1-abf1-a4b83054b420" xsi:nil="true"/>
    <Source xmlns="64d9a1e0-d3ad-45f1-abf1-a4b83054b420" xsi:nil="true"/>
    <Type_x0020_publication xmlns="64d9a1e0-d3ad-45f1-abf1-a4b83054b420" xsi:nil="true"/>
    <lcf76f155ced4ddcb4097134ff3c332f xmlns="64d9a1e0-d3ad-45f1-abf1-a4b83054b420">
      <Terms xmlns="http://schemas.microsoft.com/office/infopath/2007/PartnerControls"/>
    </lcf76f155ced4ddcb4097134ff3c332f>
    <TaxCatchAll xmlns="1704be1f-3e56-42bf-a3d7-b930ab42a5d3" xsi:nil="true"/>
  </documentManagement>
</p:properties>
</file>

<file path=customXml/itemProps1.xml><?xml version="1.0" encoding="utf-8"?>
<ds:datastoreItem xmlns:ds="http://schemas.openxmlformats.org/officeDocument/2006/customXml" ds:itemID="{E1322470-A18C-4135-AECC-2BA291110F9F}"/>
</file>

<file path=customXml/itemProps2.xml><?xml version="1.0" encoding="utf-8"?>
<ds:datastoreItem xmlns:ds="http://schemas.openxmlformats.org/officeDocument/2006/customXml" ds:itemID="{F71F3EDA-459C-4590-8141-D02E9DAB94B3}"/>
</file>

<file path=customXml/itemProps3.xml><?xml version="1.0" encoding="utf-8"?>
<ds:datastoreItem xmlns:ds="http://schemas.openxmlformats.org/officeDocument/2006/customXml" ds:itemID="{F1379107-1287-4614-B2A6-91EBE588A0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2491</Characters>
  <Application>Microsoft Office Word</Application>
  <DocSecurity>0</DocSecurity>
  <Lines>108</Lines>
  <Paragraphs>36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TBWA TBWA</dc:creator>
  <cp:lastModifiedBy>FORTIN Lucie</cp:lastModifiedBy>
  <cp:revision>3</cp:revision>
  <dcterms:created xsi:type="dcterms:W3CDTF">2026-06-16T13:58:00Z</dcterms:created>
  <dcterms:modified xsi:type="dcterms:W3CDTF">2026-06-17T12:36:00Z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2025-06-30T00:00:00Z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2026-06-16T00:00:00Z</vt:filetime>
  </property>
  <property fmtid="{D5CDD505-2E9C-101B-9397-08002B2CF9AE}" pid="6" name="Producer">
    <vt:lpwstr>GPL Ghostscript 9.55.0</vt:lpwstr>
  </property>
  <property fmtid="{D5CDD505-2E9C-101B-9397-08002B2CF9AE}" pid="7" name="ContentTypeId">
    <vt:lpwstr>0x010100A2A1989513E31745852AC9DE048BAC00</vt:lpwstr>
  </property>
</Properties>
</file>